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app.xml" ContentType="application/vnd.openxmlformats-officedocument.extended-properties+xml"/>
  <Override PartName="/word/footer5.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Override PartName="/customXml/itemProps5.xml" ContentType="application/vnd.openxmlformats-officedocument.customXmlProperties+xml"/>
  <Override PartName="/word/header2.xml" ContentType="application/vnd.openxmlformats-officedocument.wordprocessingml.header+xml"/>
  <Override PartName="/word/theme/theme1.xml" ContentType="application/vnd.openxmlformats-officedocument.theme+xml"/>
  <Override PartName="/customXml/itemProps1.xml" ContentType="application/vnd.openxmlformats-officedocument.customXmlProperties+xml"/>
  <Override PartName="/docProps/core.xml" ContentType="application/vnd.openxmlformats-package.core-properties+xml"/>
  <Override PartName="/word/header4.xml" ContentType="application/vnd.openxmlformats-officedocument.wordprocessingml.header+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header3.xml" ContentType="application/vnd.openxmlformats-officedocument.wordprocessingml.header+xml"/>
  <Override PartName="/customXml/itemProps4.xml" ContentType="application/vnd.openxmlformats-officedocument.customXml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header6.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D2254BC" w14:textId="77777777">
      <w:pPr>
        <w:pStyle w:val="1148"/>
        <w:pBdr/>
        <w:spacing/>
        <w:ind/>
        <w:rPr>
          <w:rFonts w:cstheme="minorHAnsi"/>
        </w:rPr>
      </w:pPr>
      <w:r>
        <w:rPr>
          <w:rFonts w:cstheme="minorHAnsi"/>
        </w:rPr>
      </w:r>
      <w:r>
        <w:rPr>
          <w:rFonts w:cstheme="minorHAnsi"/>
        </w:rPr>
      </w:r>
    </w:p>
    <w:p w14:paraId="5919B1D9" w14:textId="77777777">
      <w:pPr>
        <w:pBdr/>
        <w:spacing w:before="120"/>
        <w:ind w:firstLine="720" w:left="720"/>
        <w:jc w:val="center"/>
        <w:rPr>
          <w:rFonts w:cstheme="minorHAnsi"/>
          <w:b/>
          <w:sz w:val="40"/>
          <w:szCs w:val="40"/>
        </w:rPr>
      </w:pPr>
      <w:r>
        <w:rPr>
          <w:rFonts w:cstheme="minorHAnsi"/>
          <w:b/>
          <w:sz w:val="40"/>
          <w:szCs w:val="40"/>
        </w:rPr>
      </w:r>
      <w:r>
        <w:rPr>
          <w:rFonts w:cstheme="minorHAnsi"/>
          <w:b/>
          <w:sz w:val="40"/>
          <w:szCs w:val="40"/>
        </w:rPr>
      </w:r>
    </w:p>
    <w:p w14:paraId="49C8ADEB" w14:textId="77777777">
      <w:pPr>
        <w:pBdr/>
        <w:spacing w:before="120"/>
        <w:ind w:firstLine="720" w:left="720"/>
        <w:jc w:val="center"/>
        <w:rPr>
          <w:rFonts w:cstheme="minorHAnsi"/>
          <w:b/>
          <w:sz w:val="40"/>
          <w:szCs w:val="40"/>
        </w:rPr>
      </w:pPr>
      <w:r>
        <w:rPr>
          <w:rFonts w:cstheme="minorHAnsi"/>
          <w:b/>
          <w:sz w:val="40"/>
          <w:szCs w:val="40"/>
        </w:rPr>
      </w:r>
      <w:r>
        <w:rPr>
          <w:rFonts w:cstheme="minorHAnsi"/>
          <w:b/>
          <w:sz w:val="40"/>
          <w:szCs w:val="40"/>
        </w:rPr>
      </w:r>
    </w:p>
    <w:p w14:paraId="32C4F347" w14:textId="77777777">
      <w:pPr>
        <w:pBdr/>
        <w:spacing w:before="120"/>
        <w:ind w:firstLine="720" w:left="720"/>
        <w:jc w:val="center"/>
        <w:rPr>
          <w:rFonts w:cstheme="minorHAnsi"/>
          <w:b/>
          <w:sz w:val="40"/>
          <w:szCs w:val="40"/>
        </w:rPr>
      </w:pPr>
      <w:r>
        <w:rPr>
          <w:rFonts w:cstheme="minorHAnsi"/>
          <w:b/>
          <w:sz w:val="40"/>
          <w:szCs w:val="40"/>
        </w:rPr>
      </w:r>
      <w:r>
        <w:rPr>
          <w:rFonts w:cstheme="minorHAnsi"/>
          <w:b/>
          <w:sz w:val="40"/>
          <w:szCs w:val="40"/>
        </w:rPr>
      </w:r>
    </w:p>
    <w:p w14:paraId="48B5BBA4" w14:textId="77777777">
      <w:pPr>
        <w:pBdr/>
        <w:tabs>
          <w:tab w:val="left" w:leader="none" w:pos="270"/>
        </w:tabs>
        <w:spacing w:before="120"/>
        <w:ind w:hanging="450" w:left="720"/>
        <w:jc w:val="center"/>
        <w:rPr>
          <w:rFonts w:cstheme="minorHAnsi"/>
          <w:b/>
          <w:sz w:val="40"/>
          <w:szCs w:val="40"/>
          <w:u w:val="single"/>
        </w:rPr>
      </w:pPr>
      <w:r>
        <w:rPr>
          <w:rFonts w:cstheme="minorHAnsi"/>
          <w:b/>
          <w:sz w:val="40"/>
          <w:szCs w:val="40"/>
          <w:u w:val="single"/>
        </w:rPr>
      </w:r>
      <w:r>
        <w:rPr>
          <w:rFonts w:cstheme="minorHAnsi"/>
          <w:b/>
          <w:sz w:val="40"/>
          <w:szCs w:val="40"/>
          <w:u w:val="single"/>
        </w:rPr>
      </w:r>
    </w:p>
    <w:p w14:paraId="7EEC5C0A" w14:textId="77777777">
      <w:pPr>
        <w:pStyle w:val="1154"/>
        <w:pBdr/>
        <w:spacing/>
        <w:ind/>
        <w:jc w:val="center"/>
        <w:rPr>
          <w:rFonts w:asciiTheme="minorHAnsi" w:hAnsiTheme="minorHAnsi" w:cstheme="minorHAnsi"/>
        </w:rPr>
      </w:pPr>
      <w:r>
        <w:rPr>
          <w:rFonts w:asciiTheme="minorHAnsi" w:hAnsiTheme="minorHAnsi" w:cstheme="minorHAnsi"/>
        </w:rPr>
        <w:t xml:space="preserve">IMPLEMENTATION</w:t>
      </w:r>
      <w:r>
        <w:rPr>
          <w:rFonts w:asciiTheme="minorHAnsi" w:hAnsiTheme="minorHAnsi" w:cstheme="minorHAnsi"/>
        </w:rPr>
        <w:t xml:space="preserve"> PLAN</w:t>
      </w:r>
      <w:r>
        <w:rPr>
          <w:rFonts w:asciiTheme="minorHAnsi" w:hAnsiTheme="minorHAnsi" w:cstheme="minorHAnsi"/>
        </w:rPr>
      </w:r>
    </w:p>
    <w:p w14:paraId="4C93E730" w14:textId="468CC0F7">
      <w:pPr>
        <w:pStyle w:val="1156"/>
        <w:pBdr/>
        <w:spacing/>
        <w:ind/>
        <w:jc w:val="center"/>
        <w:rPr>
          <w:rFonts w:asciiTheme="minorHAnsi" w:hAnsiTheme="minorHAnsi" w:cstheme="minorHAnsi"/>
          <w:sz w:val="44"/>
          <w:szCs w:val="44"/>
        </w:rPr>
      </w:pPr>
      <w:r>
        <w:rPr>
          <w:rFonts w:asciiTheme="minorHAnsi" w:hAnsiTheme="minorHAnsi" w:cstheme="minorHAnsi"/>
          <w:sz w:val="44"/>
          <w:szCs w:val="44"/>
        </w:rPr>
        <w:t xml:space="preserve">Addressing Community Health Needs</w:t>
      </w:r>
      <w:r>
        <w:rPr>
          <w:rFonts w:asciiTheme="minorHAnsi" w:hAnsiTheme="minorHAnsi" w:cstheme="minorHAnsi"/>
          <w:sz w:val="44"/>
          <w:szCs w:val="44"/>
        </w:rPr>
      </w:r>
    </w:p>
    <w:p w14:paraId="16338E8D" w14:textId="271468B7">
      <w:pPr>
        <w:pBdr/>
        <w:spacing/>
        <w:ind/>
        <w:jc w:val="center"/>
        <w:rPr/>
      </w:pPr>
      <w:r/>
      <w:r/>
    </w:p>
    <w:p w14:paraId="70199223" w14:textId="32162151">
      <w:pPr>
        <w:pBdr/>
        <w:spacing/>
        <w:ind/>
        <w:jc w:val="center"/>
        <w:rPr>
          <w:rFonts w:cs="Arial"/>
          <w:b/>
        </w:rPr>
      </w:pPr>
      <w:r>
        <mc:AlternateContent>
          <mc:Choice Requires="wpg">
            <w:drawing>
              <wp:inline xmlns:wp="http://schemas.openxmlformats.org/drawingml/2006/wordprocessingDrawing" distT="0" distB="0" distL="0" distR="0">
                <wp:extent cx="1047750" cy="899592"/>
                <wp:effectExtent l="0" t="0" r="0" b="0"/>
                <wp:docPr id="1" name="Picture 3" descr="Home | Northeast Montana Heal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ortheast Montana Health Services"/>
                        <pic:cNvPicPr>
                          <a:picLocks noChangeAspect="1"/>
                        </pic:cNvPicPr>
                        <pic:nvPr/>
                      </pic:nvPicPr>
                      <pic:blipFill rotWithShape="1">
                        <a:blip r:embed="rId25"/>
                        <a:stretch/>
                      </pic:blipFill>
                      <pic:spPr bwMode="auto">
                        <a:xfrm>
                          <a:off x="0" y="0"/>
                          <a:ext cx="1067245" cy="91633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82.50pt;height:70.83pt;mso-wrap-distance-left:0.00pt;mso-wrap-distance-top:0.00pt;mso-wrap-distance-right:0.00pt;mso-wrap-distance-bottom:0.00pt;z-index:1;" stroked="f">
                <v:imagedata r:id="rId25" o:title=""/>
                <o:lock v:ext="edit" rotation="t"/>
              </v:shape>
            </w:pict>
          </mc:Fallback>
        </mc:AlternateContent>
      </w:r>
      <w:r>
        <w:rPr>
          <w:rFonts w:cs="Arial"/>
          <w:b/>
        </w:rPr>
      </w:r>
    </w:p>
    <w:p w14:paraId="79B127CE" w14:textId="54530E00">
      <w:pPr>
        <w:pBdr/>
        <w:spacing/>
        <w:ind/>
        <w:jc w:val="center"/>
        <w:rPr>
          <w:rFonts w:cs="Arial"/>
          <w:b/>
        </w:rPr>
      </w:pPr>
      <w:r>
        <w:rPr>
          <w:rFonts w:cs="Arial"/>
          <w:b/>
        </w:rPr>
      </w:r>
      <w:r>
        <w:rPr>
          <w:rFonts w:cs="Arial"/>
          <w:b/>
        </w:rPr>
      </w:r>
    </w:p>
    <w:p w14:paraId="039DFA03" w14:textId="77777777">
      <w:pPr>
        <w:pBdr/>
        <w:spacing/>
        <w:ind/>
        <w:rPr>
          <w:rStyle w:val="1158"/>
          <w:rFonts w:cstheme="minorHAnsi"/>
          <w:b/>
          <w:color w:val="2a231f" w:themeColor="text2" w:themeShade="BF"/>
          <w:sz w:val="36"/>
          <w:szCs w:val="36"/>
        </w:rPr>
      </w:pPr>
      <w:r>
        <w:rPr>
          <w:rFonts w:cstheme="minorHAnsi"/>
          <w:b/>
          <w:color w:val="2a231f" w:themeColor="text2" w:themeShade="BF"/>
          <w:sz w:val="36"/>
          <w:szCs w:val="36"/>
        </w:rPr>
      </w:r>
      <w:r>
        <w:rPr>
          <w:rStyle w:val="1158"/>
          <w:rFonts w:cstheme="minorHAnsi"/>
          <w:b/>
          <w:color w:val="2a231f" w:themeColor="text2" w:themeShade="BF"/>
          <w:sz w:val="36"/>
          <w:szCs w:val="36"/>
        </w:rPr>
      </w:r>
    </w:p>
    <w:p w14:paraId="18B4F08D" w14:textId="34D3888F">
      <w:pPr>
        <w:pBdr/>
        <w:spacing w:before="120"/>
        <w:ind/>
        <w:jc w:val="center"/>
        <w:rPr>
          <w:rStyle w:val="1158"/>
          <w:rFonts w:cstheme="minorHAnsi"/>
          <w:b/>
          <w:color w:val="2a231f" w:themeColor="text2" w:themeShade="BF"/>
          <w:sz w:val="36"/>
          <w:szCs w:val="36"/>
        </w:rPr>
      </w:pPr>
      <w:r>
        <w:rPr>
          <w:rStyle w:val="1158"/>
          <w:rFonts w:cstheme="minorHAnsi"/>
          <w:b/>
          <w:color w:val="2a231f" w:themeColor="text2" w:themeShade="BF"/>
          <w:sz w:val="36"/>
          <w:szCs w:val="36"/>
        </w:rPr>
        <w:t xml:space="preserve">Poplar / Wolf Point</w:t>
      </w:r>
      <w:r>
        <w:rPr>
          <w:rStyle w:val="1158"/>
          <w:rFonts w:cstheme="minorHAnsi"/>
          <w:b/>
          <w:color w:val="2a231f" w:themeColor="text2" w:themeShade="BF"/>
          <w:sz w:val="36"/>
          <w:szCs w:val="36"/>
        </w:rPr>
        <w:t xml:space="preserve">, M</w:t>
      </w:r>
      <w:r>
        <w:rPr>
          <w:rStyle w:val="1158"/>
          <w:rFonts w:cstheme="minorHAnsi"/>
          <w:b/>
          <w:color w:val="2a231f" w:themeColor="text2" w:themeShade="BF"/>
          <w:sz w:val="36"/>
          <w:szCs w:val="36"/>
        </w:rPr>
        <w:t xml:space="preserve">ontana</w:t>
      </w:r>
      <w:r>
        <w:rPr>
          <w:rStyle w:val="1158"/>
          <w:rFonts w:cstheme="minorHAnsi"/>
          <w:b/>
          <w:color w:val="2a231f" w:themeColor="text2" w:themeShade="BF"/>
          <w:sz w:val="36"/>
          <w:szCs w:val="36"/>
        </w:rPr>
      </w:r>
    </w:p>
    <w:p w14:paraId="707D0419" w14:textId="4C778C73">
      <w:pPr>
        <w:pBdr/>
        <w:spacing w:before="120"/>
        <w:ind/>
        <w:jc w:val="center"/>
        <w:rPr>
          <w:rStyle w:val="1158"/>
          <w:rFonts w:cstheme="minorHAnsi"/>
          <w:b/>
          <w:color w:val="2a231f" w:themeColor="text2" w:themeShade="BF"/>
          <w:sz w:val="36"/>
          <w:szCs w:val="36"/>
        </w:rPr>
      </w:pPr>
      <w:r>
        <w:rPr>
          <w:rStyle w:val="1158"/>
          <w:rFonts w:cstheme="minorHAnsi"/>
          <w:b/>
          <w:color w:val="2a231f" w:themeColor="text2" w:themeShade="BF"/>
          <w:sz w:val="36"/>
          <w:szCs w:val="36"/>
        </w:rPr>
        <w:t xml:space="preserve">20</w:t>
      </w:r>
      <w:r>
        <w:rPr>
          <w:rStyle w:val="1158"/>
          <w:rFonts w:cstheme="minorHAnsi"/>
          <w:b/>
          <w:color w:val="2a231f" w:themeColor="text2" w:themeShade="BF"/>
          <w:sz w:val="36"/>
          <w:szCs w:val="36"/>
        </w:rPr>
        <w:t xml:space="preserve">2</w:t>
      </w:r>
      <w:r>
        <w:rPr>
          <w:rStyle w:val="1158"/>
          <w:rFonts w:cstheme="minorHAnsi"/>
          <w:b/>
          <w:color w:val="2a231f" w:themeColor="text2" w:themeShade="BF"/>
          <w:sz w:val="36"/>
          <w:szCs w:val="36"/>
        </w:rPr>
        <w:t xml:space="preserve">5</w:t>
      </w:r>
      <w:r>
        <w:rPr>
          <w:rStyle w:val="1158"/>
          <w:rFonts w:cstheme="minorHAnsi"/>
          <w:b/>
          <w:color w:val="2a231f" w:themeColor="text2" w:themeShade="BF"/>
          <w:sz w:val="36"/>
          <w:szCs w:val="36"/>
        </w:rPr>
        <w:t xml:space="preserve">-202</w:t>
      </w:r>
      <w:r>
        <w:rPr>
          <w:rStyle w:val="1158"/>
          <w:rFonts w:cstheme="minorHAnsi"/>
          <w:b/>
          <w:color w:val="2a231f" w:themeColor="text2" w:themeShade="BF"/>
          <w:sz w:val="36"/>
          <w:szCs w:val="36"/>
        </w:rPr>
        <w:t xml:space="preserve">8</w:t>
      </w:r>
      <w:r>
        <w:rPr>
          <w:rStyle w:val="1158"/>
          <w:rFonts w:cstheme="minorHAnsi"/>
          <w:b/>
          <w:color w:val="2a231f" w:themeColor="text2" w:themeShade="BF"/>
          <w:sz w:val="36"/>
          <w:szCs w:val="36"/>
        </w:rPr>
      </w:r>
    </w:p>
    <w:p w14:paraId="071319BD" w14:textId="77777777">
      <w:pPr>
        <w:pBdr/>
        <w:spacing/>
        <w:ind/>
        <w:jc w:val="center"/>
        <w:rPr>
          <w:rFonts w:cstheme="minorHAnsi"/>
          <w:b/>
          <w:sz w:val="28"/>
          <w:szCs w:val="28"/>
          <w:u w:val="single"/>
        </w:rPr>
      </w:pPr>
      <w:r>
        <w:rPr>
          <w:rFonts w:cstheme="minorHAnsi"/>
          <w:b/>
          <w:sz w:val="28"/>
          <w:szCs w:val="28"/>
          <w:u w:val="single"/>
        </w:rPr>
      </w:r>
      <w:r>
        <w:rPr>
          <w:rFonts w:cstheme="minorHAnsi"/>
          <w:b/>
          <w:sz w:val="28"/>
          <w:szCs w:val="28"/>
          <w:u w:val="single"/>
        </w:rPr>
      </w:r>
    </w:p>
    <w:p w14:paraId="02CF1572" w14:textId="77777777">
      <w:pPr>
        <w:pBdr/>
        <w:spacing/>
        <w:ind/>
        <w:jc w:val="center"/>
        <w:rPr>
          <w:rFonts w:cstheme="minorHAnsi"/>
          <w:b/>
          <w:sz w:val="28"/>
          <w:szCs w:val="28"/>
          <w:u w:val="single"/>
        </w:rPr>
      </w:pPr>
      <w:r>
        <w:rPr>
          <w:rFonts w:cstheme="minorHAnsi"/>
          <w:b/>
          <w:sz w:val="28"/>
          <w:szCs w:val="28"/>
          <w:u w:val="single"/>
        </w:rPr>
      </w:r>
      <w:r>
        <w:rPr>
          <w:rFonts w:cstheme="minorHAnsi"/>
          <w:b/>
          <w:sz w:val="28"/>
          <w:szCs w:val="28"/>
          <w:u w:val="single"/>
        </w:rPr>
      </w:r>
    </w:p>
    <w:p w14:paraId="23E4E7F4" w14:textId="2EE9E71D">
      <w:pPr>
        <w:pBdr/>
        <w:spacing w:after="200" w:line="276" w:lineRule="auto"/>
        <w:ind/>
        <w:rPr>
          <w:rFonts w:cstheme="minorHAnsi"/>
          <w:b/>
          <w:sz w:val="28"/>
          <w:szCs w:val="28"/>
          <w:u w:val="single"/>
        </w:rPr>
      </w:pPr>
      <w:r>
        <w:rPr>
          <w:rFonts w:cstheme="minorHAnsi"/>
          <w:b/>
          <w:sz w:val="28"/>
          <w:szCs w:val="28"/>
          <w:u w:val="single"/>
        </w:rPr>
        <w:br w:type="page" w:clear="all"/>
      </w:r>
      <w:r>
        <w:rPr>
          <w:rFonts w:cstheme="minorHAnsi"/>
          <w:b/>
          <w:sz w:val="28"/>
          <w:szCs w:val="28"/>
          <w:u w:val="single"/>
        </w:rPr>
      </w:r>
    </w:p>
    <w:sdt>
      <w:sdtPr>
        <w15:appearance w15:val="boundingBox"/>
        <w:id w:val="1438024690"/>
        <w:docPartObj>
          <w:docPartGallery w:val="Table of Contents"/>
          <w:docPartUnique w:val="true"/>
        </w:docPartObj>
        <w:rPr>
          <w:rFonts w:asciiTheme="minorHAnsi" w:hAnsiTheme="minorHAnsi" w:eastAsiaTheme="minorEastAsia" w:cstheme="minorHAnsi"/>
          <w:b w:val="0"/>
          <w:bCs w:val="0"/>
          <w:color w:val="auto"/>
          <w:sz w:val="24"/>
          <w:szCs w:val="22"/>
          <w:lang w:eastAsia="en-US" w:bidi="en-US"/>
        </w:rPr>
      </w:sdtPr>
      <w:sdtContent>
        <w:p w14:paraId="1FA3412D" w14:textId="77777777">
          <w:pPr>
            <w:pStyle w:val="1150"/>
            <w:pBdr/>
            <w:spacing/>
            <w:ind/>
            <w:jc w:val="center"/>
            <w:rPr>
              <w:rFonts w:asciiTheme="minorHAnsi" w:hAnsiTheme="minorHAnsi" w:cstheme="minorHAnsi"/>
            </w:rPr>
          </w:pPr>
          <w:r>
            <w:rPr>
              <w:rFonts w:asciiTheme="minorHAnsi" w:hAnsiTheme="minorHAnsi" w:cstheme="minorHAnsi"/>
            </w:rPr>
            <w:t xml:space="preserve">Table of Contents</w:t>
          </w:r>
          <w:r>
            <w:rPr>
              <w:rFonts w:asciiTheme="minorHAnsi" w:hAnsiTheme="minorHAnsi" w:cstheme="minorHAnsi"/>
            </w:rPr>
          </w:r>
        </w:p>
        <w:p w14:paraId="62738AD3" w14:textId="2F3C04C9">
          <w:pPr>
            <w:pStyle w:val="1151"/>
            <w:pBdr/>
            <w:spacing w:after="0" w:line="360" w:lineRule="auto"/>
            <w:ind/>
            <w:rPr>
              <w:szCs w:val="24"/>
              <w:lang w:bidi="ar-SA"/>
              <w14:ligatures w14:val="standardContextual"/>
            </w:rPr>
          </w:pPr>
          <w:r>
            <w:rPr>
              <w:rStyle w:val="1153"/>
              <w:rFonts w:cstheme="minorHAnsi"/>
            </w:rPr>
            <w:fldChar w:fldCharType="begin"/>
          </w:r>
          <w:r>
            <w:rPr>
              <w:rStyle w:val="1153"/>
              <w:rFonts w:cstheme="minorHAnsi"/>
            </w:rPr>
            <w:instrText xml:space="preserve"> TOC \o "1-3" \h \z \u </w:instrText>
          </w:r>
          <w:r>
            <w:rPr>
              <w:rStyle w:val="1153"/>
              <w:rFonts w:cstheme="minorHAnsi"/>
            </w:rPr>
            <w:fldChar w:fldCharType="separate"/>
          </w:r>
          <w:hyperlink w:tooltip="#_Toc227308979" w:anchor="_Toc227308979" w:history="1">
            <w:r>
              <w:rPr>
                <w:rStyle w:val="1152"/>
                <w:rFonts w:cstheme="minorHAnsi"/>
              </w:rPr>
              <w:t xml:space="preserve">The Implementation Planning Process</w:t>
            </w:r>
            <w:r>
              <w:tab/>
            </w:r>
            <w:r>
              <w:fldChar w:fldCharType="begin"/>
            </w:r>
            <w:r>
              <w:instrText xml:space="preserve"> PAGEREF _Toc227308979 \h </w:instrText>
            </w:r>
            <w:r/>
            <w:r>
              <w:fldChar w:fldCharType="separate"/>
            </w:r>
            <w:r>
              <w:t xml:space="preserve">3</w:t>
            </w:r>
            <w:r>
              <w:fldChar w:fldCharType="end"/>
            </w:r>
          </w:hyperlink>
          <w:r/>
          <w:r>
            <w:rPr>
              <w:szCs w:val="24"/>
              <w:lang w:bidi="ar-SA"/>
              <w14:ligatures w14:val="standardContextual"/>
            </w:rPr>
          </w:r>
        </w:p>
        <w:p w14:paraId="05A1A8A8" w14:textId="252E8693">
          <w:pPr>
            <w:pStyle w:val="1151"/>
            <w:pBdr/>
            <w:spacing w:after="0" w:line="360" w:lineRule="auto"/>
            <w:ind/>
            <w:rPr>
              <w:szCs w:val="24"/>
              <w:lang w:bidi="ar-SA"/>
              <w14:ligatures w14:val="standardContextual"/>
            </w:rPr>
          </w:pPr>
          <w:r/>
          <w:hyperlink w:tooltip="#_Toc227308980" w:anchor="_Toc227308980" w:history="1">
            <w:r>
              <w:rPr>
                <w:rStyle w:val="1152"/>
                <w:rFonts w:cstheme="minorHAnsi"/>
              </w:rPr>
              <w:t xml:space="preserve">Prioritizing the Community Health Needs</w:t>
            </w:r>
            <w:r>
              <w:tab/>
            </w:r>
            <w:r>
              <w:fldChar w:fldCharType="begin"/>
            </w:r>
            <w:r>
              <w:instrText xml:space="preserve"> PAGEREF _Toc227308980 \h </w:instrText>
            </w:r>
            <w:r/>
            <w:r>
              <w:fldChar w:fldCharType="separate"/>
            </w:r>
            <w:r>
              <w:t xml:space="preserve">5</w:t>
            </w:r>
            <w:r>
              <w:fldChar w:fldCharType="end"/>
            </w:r>
          </w:hyperlink>
          <w:r/>
          <w:r>
            <w:rPr>
              <w:szCs w:val="24"/>
              <w:lang w:bidi="ar-SA"/>
              <w14:ligatures w14:val="standardContextual"/>
            </w:rPr>
          </w:r>
        </w:p>
        <w:p w14:paraId="25CFED01" w14:textId="57C8DE59">
          <w:pPr>
            <w:pStyle w:val="1165"/>
            <w:pBdr/>
            <w:tabs>
              <w:tab w:val="left" w:leader="none" w:pos="720"/>
              <w:tab w:val="right" w:leader="dot" w:pos="12950"/>
            </w:tabs>
            <w:spacing w:after="0" w:line="360" w:lineRule="auto"/>
            <w:ind/>
            <w:rPr>
              <w:szCs w:val="24"/>
              <w:lang w:bidi="ar-SA"/>
              <w14:ligatures w14:val="standardContextual"/>
            </w:rPr>
          </w:pPr>
          <w:r/>
          <w:hyperlink w:tooltip="#_Toc227308981" w:anchor="_Toc227308981" w:history="1">
            <w:r>
              <w:rPr>
                <w:rStyle w:val="1152"/>
                <w:rFonts w:cstheme="minorHAnsi"/>
              </w:rPr>
              <w:t xml:space="preserve">1.</w:t>
            </w:r>
            <w:r>
              <w:rPr>
                <w:szCs w:val="24"/>
                <w:lang w:bidi="ar-SA"/>
                <w14:ligatures w14:val="standardContextual"/>
              </w:rPr>
              <w:tab/>
            </w:r>
            <w:r>
              <w:rPr>
                <w:rStyle w:val="1152"/>
                <w:rFonts w:cstheme="minorHAnsi"/>
              </w:rPr>
              <w:t xml:space="preserve">NEMHS’s Existing Presence in the Community</w:t>
            </w:r>
            <w:r>
              <w:tab/>
            </w:r>
            <w:r>
              <w:fldChar w:fldCharType="begin"/>
            </w:r>
            <w:r>
              <w:instrText xml:space="preserve"> PAGEREF _Toc227308981 \h </w:instrText>
            </w:r>
            <w:r/>
            <w:r>
              <w:fldChar w:fldCharType="separate"/>
            </w:r>
            <w:r>
              <w:t xml:space="preserve">5</w:t>
            </w:r>
            <w:r>
              <w:fldChar w:fldCharType="end"/>
            </w:r>
          </w:hyperlink>
          <w:r/>
          <w:r>
            <w:rPr>
              <w:szCs w:val="24"/>
              <w:lang w:bidi="ar-SA"/>
              <w14:ligatures w14:val="standardContextual"/>
            </w:rPr>
          </w:r>
        </w:p>
        <w:p w14:paraId="34C40D24" w14:textId="7F733F5C">
          <w:pPr>
            <w:pStyle w:val="1165"/>
            <w:pBdr/>
            <w:tabs>
              <w:tab w:val="left" w:leader="none" w:pos="720"/>
              <w:tab w:val="right" w:leader="dot" w:pos="12950"/>
            </w:tabs>
            <w:spacing w:after="0" w:line="360" w:lineRule="auto"/>
            <w:ind/>
            <w:rPr>
              <w:szCs w:val="24"/>
              <w:lang w:bidi="ar-SA"/>
              <w14:ligatures w14:val="standardContextual"/>
            </w:rPr>
          </w:pPr>
          <w:r/>
          <w:hyperlink w:tooltip="#_Toc227308982" w:anchor="_Toc227308982" w:history="1">
            <w:r>
              <w:rPr>
                <w:rStyle w:val="1152"/>
                <w:rFonts w:cstheme="minorHAnsi"/>
              </w:rPr>
              <w:t xml:space="preserve">2.</w:t>
            </w:r>
            <w:r>
              <w:rPr>
                <w:szCs w:val="24"/>
                <w:lang w:bidi="ar-SA"/>
                <w14:ligatures w14:val="standardContextual"/>
              </w:rPr>
              <w:tab/>
            </w:r>
            <w:r>
              <w:rPr>
                <w:rStyle w:val="1152"/>
                <w:rFonts w:cstheme="minorHAnsi"/>
              </w:rPr>
              <w:t xml:space="preserve">List of Available Community Partnerships and Facility Resources to Address Needs</w:t>
            </w:r>
            <w:r>
              <w:tab/>
            </w:r>
            <w:r>
              <w:fldChar w:fldCharType="begin"/>
            </w:r>
            <w:r>
              <w:instrText xml:space="preserve"> PAGEREF _Toc227308982 \h </w:instrText>
            </w:r>
            <w:r/>
            <w:r>
              <w:fldChar w:fldCharType="separate"/>
            </w:r>
            <w:r>
              <w:t xml:space="preserve">6</w:t>
            </w:r>
            <w:r>
              <w:fldChar w:fldCharType="end"/>
            </w:r>
          </w:hyperlink>
          <w:r/>
          <w:r>
            <w:rPr>
              <w:szCs w:val="24"/>
              <w:lang w:bidi="ar-SA"/>
              <w14:ligatures w14:val="standardContextual"/>
            </w:rPr>
          </w:r>
        </w:p>
        <w:p w14:paraId="6038E662" w14:textId="3BA09722">
          <w:pPr>
            <w:pStyle w:val="1165"/>
            <w:pBdr/>
            <w:tabs>
              <w:tab w:val="left" w:leader="none" w:pos="720"/>
              <w:tab w:val="right" w:leader="dot" w:pos="12950"/>
            </w:tabs>
            <w:spacing w:after="0" w:line="360" w:lineRule="auto"/>
            <w:ind/>
            <w:rPr>
              <w:szCs w:val="24"/>
              <w:lang w:bidi="ar-SA"/>
              <w14:ligatures w14:val="standardContextual"/>
            </w:rPr>
          </w:pPr>
          <w:r/>
          <w:hyperlink w:tooltip="#_Toc227308983" w:anchor="_Toc227308983" w:history="1">
            <w:r>
              <w:rPr>
                <w:rStyle w:val="1152"/>
                <w:rFonts w:cstheme="minorHAnsi"/>
              </w:rPr>
              <w:t xml:space="preserve">3.</w:t>
            </w:r>
            <w:r>
              <w:rPr>
                <w:szCs w:val="24"/>
                <w:lang w:bidi="ar-SA"/>
                <w14:ligatures w14:val="standardContextual"/>
              </w:rPr>
              <w:tab/>
            </w:r>
            <w:r>
              <w:rPr>
                <w:rStyle w:val="1152"/>
                <w:rFonts w:cstheme="minorHAnsi"/>
              </w:rPr>
              <w:t xml:space="preserve">Roosevelt County Indicators</w:t>
            </w:r>
            <w:r>
              <w:tab/>
            </w:r>
            <w:r>
              <w:fldChar w:fldCharType="begin"/>
            </w:r>
            <w:r>
              <w:instrText xml:space="preserve"> PAGEREF _Toc227308983 \h </w:instrText>
            </w:r>
            <w:r/>
            <w:r>
              <w:fldChar w:fldCharType="separate"/>
            </w:r>
            <w:r>
              <w:t xml:space="preserve">7</w:t>
            </w:r>
            <w:r>
              <w:fldChar w:fldCharType="end"/>
            </w:r>
          </w:hyperlink>
          <w:r/>
          <w:r>
            <w:rPr>
              <w:szCs w:val="24"/>
              <w:lang w:bidi="ar-SA"/>
              <w14:ligatures w14:val="standardContextual"/>
            </w:rPr>
          </w:r>
        </w:p>
        <w:p w14:paraId="01EB224F" w14:textId="502C27EE">
          <w:pPr>
            <w:pStyle w:val="1165"/>
            <w:pBdr/>
            <w:tabs>
              <w:tab w:val="left" w:leader="none" w:pos="720"/>
              <w:tab w:val="right" w:leader="dot" w:pos="12950"/>
            </w:tabs>
            <w:spacing w:after="0" w:line="360" w:lineRule="auto"/>
            <w:ind/>
            <w:rPr>
              <w:szCs w:val="24"/>
              <w:lang w:bidi="ar-SA"/>
              <w14:ligatures w14:val="standardContextual"/>
            </w:rPr>
          </w:pPr>
          <w:r/>
          <w:hyperlink w:tooltip="#_Toc227308984" w:anchor="_Toc227308984" w:history="1">
            <w:r>
              <w:rPr>
                <w:rStyle w:val="1152"/>
                <w:rFonts w:cstheme="minorHAnsi"/>
              </w:rPr>
              <w:t xml:space="preserve">4.</w:t>
            </w:r>
            <w:r>
              <w:rPr>
                <w:szCs w:val="24"/>
                <w:lang w:bidi="ar-SA"/>
                <w14:ligatures w14:val="standardContextual"/>
              </w:rPr>
              <w:tab/>
            </w:r>
            <w:r>
              <w:rPr>
                <w:rStyle w:val="1152"/>
                <w:rFonts w:cstheme="minorHAnsi"/>
              </w:rPr>
              <w:t xml:space="preserve">Public Health and Underserved Populations Consultation Summaries</w:t>
            </w:r>
            <w:r>
              <w:tab/>
            </w:r>
            <w:r>
              <w:fldChar w:fldCharType="begin"/>
            </w:r>
            <w:r>
              <w:instrText xml:space="preserve"> PAGEREF _Toc227308984 \h </w:instrText>
            </w:r>
            <w:r/>
            <w:r>
              <w:fldChar w:fldCharType="separate"/>
            </w:r>
            <w:r>
              <w:t xml:space="preserve">8</w:t>
            </w:r>
            <w:r>
              <w:fldChar w:fldCharType="end"/>
            </w:r>
          </w:hyperlink>
          <w:r/>
          <w:r>
            <w:rPr>
              <w:szCs w:val="24"/>
              <w:lang w:bidi="ar-SA"/>
              <w14:ligatures w14:val="standardContextual"/>
            </w:rPr>
          </w:r>
        </w:p>
        <w:p w14:paraId="348FE8F9" w14:textId="49D4C12D">
          <w:pPr>
            <w:pStyle w:val="1151"/>
            <w:pBdr/>
            <w:spacing w:after="0" w:line="360" w:lineRule="auto"/>
            <w:ind/>
            <w:rPr>
              <w:szCs w:val="24"/>
              <w:lang w:bidi="ar-SA"/>
              <w14:ligatures w14:val="standardContextual"/>
            </w:rPr>
          </w:pPr>
          <w:r/>
          <w:hyperlink w:tooltip="#_Toc227308985" w:anchor="_Toc227308985" w:history="1">
            <w:r>
              <w:rPr>
                <w:rStyle w:val="1152"/>
                <w:rFonts w:cstheme="minorHAnsi"/>
              </w:rPr>
              <w:t xml:space="preserve">Needs Identified and Prioritized</w:t>
            </w:r>
            <w:r>
              <w:tab/>
            </w:r>
            <w:r>
              <w:fldChar w:fldCharType="begin"/>
            </w:r>
            <w:r>
              <w:instrText xml:space="preserve"> PAGEREF _Toc227308985 \h </w:instrText>
            </w:r>
            <w:r/>
            <w:r>
              <w:fldChar w:fldCharType="separate"/>
            </w:r>
            <w:r>
              <w:t xml:space="preserve">9</w:t>
            </w:r>
            <w:r>
              <w:fldChar w:fldCharType="end"/>
            </w:r>
          </w:hyperlink>
          <w:r/>
          <w:r>
            <w:rPr>
              <w:szCs w:val="24"/>
              <w:lang w:bidi="ar-SA"/>
              <w14:ligatures w14:val="standardContextual"/>
            </w:rPr>
          </w:r>
        </w:p>
        <w:p w14:paraId="0FE95BC0" w14:textId="59F2B9BC">
          <w:pPr>
            <w:pStyle w:val="1165"/>
            <w:pBdr/>
            <w:tabs>
              <w:tab w:val="right" w:leader="dot" w:pos="12950"/>
            </w:tabs>
            <w:spacing w:after="0" w:line="360" w:lineRule="auto"/>
            <w:ind/>
            <w:rPr>
              <w:szCs w:val="24"/>
              <w:lang w:bidi="ar-SA"/>
              <w14:ligatures w14:val="standardContextual"/>
            </w:rPr>
          </w:pPr>
          <w:r/>
          <w:hyperlink w:tooltip="#_Toc227308986" w:anchor="_Toc227308986" w:history="1">
            <w:r>
              <w:rPr>
                <w:rStyle w:val="1152"/>
                <w:rFonts w:cstheme="minorHAnsi"/>
                <w:i/>
              </w:rPr>
              <w:t xml:space="preserve">Prioritized Needs to Address</w:t>
            </w:r>
            <w:r>
              <w:tab/>
            </w:r>
            <w:r>
              <w:fldChar w:fldCharType="begin"/>
            </w:r>
            <w:r>
              <w:instrText xml:space="preserve"> PAGEREF _Toc227308986 \h </w:instrText>
            </w:r>
            <w:r/>
            <w:r>
              <w:fldChar w:fldCharType="separate"/>
            </w:r>
            <w:r>
              <w:t xml:space="preserve">9</w:t>
            </w:r>
            <w:r>
              <w:fldChar w:fldCharType="end"/>
            </w:r>
          </w:hyperlink>
          <w:r/>
          <w:r>
            <w:rPr>
              <w:szCs w:val="24"/>
              <w:lang w:bidi="ar-SA"/>
              <w14:ligatures w14:val="standardContextual"/>
            </w:rPr>
          </w:r>
        </w:p>
        <w:p w14:paraId="06717D37" w14:textId="6EE61499">
          <w:pPr>
            <w:pStyle w:val="1165"/>
            <w:pBdr/>
            <w:tabs>
              <w:tab w:val="right" w:leader="dot" w:pos="12950"/>
            </w:tabs>
            <w:spacing w:after="0" w:line="360" w:lineRule="auto"/>
            <w:ind/>
            <w:rPr>
              <w:szCs w:val="24"/>
              <w:lang w:bidi="ar-SA"/>
              <w14:ligatures w14:val="standardContextual"/>
            </w:rPr>
          </w:pPr>
          <w:r/>
          <w:hyperlink w:tooltip="#_Toc227308987" w:anchor="_Toc227308987" w:history="1">
            <w:r>
              <w:rPr>
                <w:rStyle w:val="1152"/>
                <w:rFonts w:cstheme="minorHAnsi"/>
                <w:i/>
              </w:rPr>
              <w:t xml:space="preserve">Needs Unable to Address</w:t>
            </w:r>
            <w:r>
              <w:tab/>
            </w:r>
            <w:r>
              <w:fldChar w:fldCharType="begin"/>
            </w:r>
            <w:r>
              <w:instrText xml:space="preserve"> PAGEREF _Toc227308987 \h </w:instrText>
            </w:r>
            <w:r/>
            <w:r>
              <w:fldChar w:fldCharType="separate"/>
            </w:r>
            <w:r>
              <w:t xml:space="preserve">10</w:t>
            </w:r>
            <w:r>
              <w:fldChar w:fldCharType="end"/>
            </w:r>
          </w:hyperlink>
          <w:r/>
          <w:r>
            <w:rPr>
              <w:szCs w:val="24"/>
              <w:lang w:bidi="ar-SA"/>
              <w14:ligatures w14:val="standardContextual"/>
            </w:rPr>
          </w:r>
        </w:p>
        <w:p w14:paraId="4ADD5DC1" w14:textId="4848BEAF">
          <w:pPr>
            <w:pStyle w:val="1151"/>
            <w:pBdr/>
            <w:spacing w:after="0" w:line="360" w:lineRule="auto"/>
            <w:ind/>
            <w:rPr>
              <w:szCs w:val="24"/>
              <w:lang w:bidi="ar-SA"/>
              <w14:ligatures w14:val="standardContextual"/>
            </w:rPr>
          </w:pPr>
          <w:r/>
          <w:hyperlink w:tooltip="#_Toc227308988" w:anchor="_Toc227308988" w:history="1">
            <w:r>
              <w:rPr>
                <w:rStyle w:val="1152"/>
                <w:rFonts w:cstheme="minorHAnsi"/>
              </w:rPr>
              <w:t xml:space="preserve">Executive Summary</w:t>
            </w:r>
            <w:r>
              <w:tab/>
            </w:r>
            <w:r>
              <w:fldChar w:fldCharType="begin"/>
            </w:r>
            <w:r>
              <w:instrText xml:space="preserve"> PAGEREF _Toc227308988 \h </w:instrText>
            </w:r>
            <w:r/>
            <w:r>
              <w:fldChar w:fldCharType="separate"/>
            </w:r>
            <w:r>
              <w:t xml:space="preserve">11</w:t>
            </w:r>
            <w:r>
              <w:fldChar w:fldCharType="end"/>
            </w:r>
          </w:hyperlink>
          <w:r/>
          <w:r>
            <w:rPr>
              <w:szCs w:val="24"/>
              <w:lang w:bidi="ar-SA"/>
              <w14:ligatures w14:val="standardContextual"/>
            </w:rPr>
          </w:r>
        </w:p>
        <w:p w14:paraId="2962867D" w14:textId="60D6DCB1">
          <w:pPr>
            <w:pStyle w:val="1151"/>
            <w:pBdr/>
            <w:spacing w:after="0" w:line="360" w:lineRule="auto"/>
            <w:ind/>
            <w:rPr>
              <w:szCs w:val="24"/>
              <w:lang w:bidi="ar-SA"/>
              <w14:ligatures w14:val="standardContextual"/>
            </w:rPr>
          </w:pPr>
          <w:r/>
          <w:hyperlink w:tooltip="#_Toc227308989" w:anchor="_Toc227308989" w:history="1">
            <w:r>
              <w:rPr>
                <w:rStyle w:val="1152"/>
                <w:rFonts w:cstheme="minorHAnsi"/>
              </w:rPr>
              <w:t xml:space="preserve">Implementation Plan Grid</w:t>
            </w:r>
            <w:r>
              <w:tab/>
            </w:r>
            <w:r>
              <w:fldChar w:fldCharType="begin"/>
            </w:r>
            <w:r>
              <w:instrText xml:space="preserve"> PAGEREF _Toc227308989 \h </w:instrText>
            </w:r>
            <w:r/>
            <w:r>
              <w:fldChar w:fldCharType="separate"/>
            </w:r>
            <w:r>
              <w:t xml:space="preserve">14</w:t>
            </w:r>
            <w:r>
              <w:fldChar w:fldCharType="end"/>
            </w:r>
          </w:hyperlink>
          <w:r/>
          <w:r>
            <w:rPr>
              <w:szCs w:val="24"/>
              <w:lang w:bidi="ar-SA"/>
              <w14:ligatures w14:val="standardContextual"/>
            </w:rPr>
          </w:r>
        </w:p>
        <w:p w14:paraId="43CE26ED" w14:textId="55617DF8">
          <w:pPr>
            <w:pStyle w:val="1151"/>
            <w:pBdr/>
            <w:spacing w:after="0" w:line="360" w:lineRule="auto"/>
            <w:ind/>
            <w:rPr>
              <w:szCs w:val="24"/>
              <w:lang w:bidi="ar-SA"/>
              <w14:ligatures w14:val="standardContextual"/>
            </w:rPr>
          </w:pPr>
          <w:r/>
          <w:hyperlink w:tooltip="#_Toc227308990" w:anchor="_Toc227308990" w:history="1">
            <w:r>
              <w:rPr>
                <w:rStyle w:val="1152"/>
                <w:rFonts w:cstheme="minorHAnsi"/>
              </w:rPr>
              <w:t xml:space="preserve">Needs Not Addressed and Justification</w:t>
            </w:r>
            <w:r>
              <w:tab/>
            </w:r>
            <w:r>
              <w:fldChar w:fldCharType="begin"/>
            </w:r>
            <w:r>
              <w:instrText xml:space="preserve"> PAGEREF _Toc227308990 \h </w:instrText>
            </w:r>
            <w:r/>
            <w:r>
              <w:fldChar w:fldCharType="separate"/>
            </w:r>
            <w:r>
              <w:t xml:space="preserve">23</w:t>
            </w:r>
            <w:r>
              <w:fldChar w:fldCharType="end"/>
            </w:r>
          </w:hyperlink>
          <w:r/>
          <w:r>
            <w:rPr>
              <w:szCs w:val="24"/>
              <w:lang w:bidi="ar-SA"/>
              <w14:ligatures w14:val="standardContextual"/>
            </w:rPr>
          </w:r>
        </w:p>
        <w:p w14:paraId="56B830CE" w14:textId="1690328D">
          <w:pPr>
            <w:pStyle w:val="1151"/>
            <w:pBdr/>
            <w:spacing w:after="0" w:line="360" w:lineRule="auto"/>
            <w:ind/>
            <w:rPr>
              <w:szCs w:val="24"/>
              <w:lang w:bidi="ar-SA"/>
              <w14:ligatures w14:val="standardContextual"/>
            </w:rPr>
          </w:pPr>
          <w:r/>
          <w:hyperlink w:tooltip="#_Toc227308991" w:anchor="_Toc227308991" w:history="1">
            <w:r>
              <w:rPr>
                <w:rStyle w:val="1152"/>
                <w:rFonts w:cstheme="minorHAnsi"/>
              </w:rPr>
              <w:t xml:space="preserve">Dissemination of Needs Assessment</w:t>
            </w:r>
            <w:r>
              <w:tab/>
            </w:r>
            <w:r>
              <w:fldChar w:fldCharType="begin"/>
            </w:r>
            <w:r>
              <w:instrText xml:space="preserve"> PAGEREF _Toc227308991 \h </w:instrText>
            </w:r>
            <w:r/>
            <w:r>
              <w:fldChar w:fldCharType="separate"/>
            </w:r>
            <w:r>
              <w:t xml:space="preserve">24</w:t>
            </w:r>
            <w:r>
              <w:fldChar w:fldCharType="end"/>
            </w:r>
          </w:hyperlink>
          <w:r/>
          <w:r>
            <w:rPr>
              <w:szCs w:val="24"/>
              <w:lang w:bidi="ar-SA"/>
              <w14:ligatures w14:val="standardContextual"/>
            </w:rPr>
          </w:r>
        </w:p>
        <w:p w14:paraId="2F8816F4" w14:textId="73353F73">
          <w:pPr>
            <w:pBdr/>
            <w:spacing w:line="360" w:lineRule="auto"/>
            <w:ind/>
            <w:rPr>
              <w:rFonts w:cstheme="minorHAnsi"/>
            </w:rPr>
          </w:pPr>
          <w:r>
            <w:rPr>
              <w:rStyle w:val="1153"/>
              <w:rFonts w:cstheme="minorHAnsi"/>
            </w:rPr>
            <w:fldChar w:fldCharType="end"/>
          </w:r>
          <w:r>
            <w:rPr>
              <w:rFonts w:cstheme="minorHAnsi"/>
            </w:rPr>
          </w:r>
        </w:p>
      </w:sdtContent>
    </w:sdt>
    <w:p w14:paraId="12E5597F" w14:textId="06DD8BBF">
      <w:pPr>
        <w:pBdr/>
        <w:spacing w:after="200" w:line="276" w:lineRule="auto"/>
        <w:ind/>
        <w:rPr>
          <w:rFonts w:cstheme="minorHAnsi"/>
          <w:b/>
          <w:sz w:val="28"/>
          <w:szCs w:val="28"/>
          <w:u w:val="single"/>
        </w:rPr>
      </w:pPr>
      <w:r>
        <w:rPr>
          <w:rFonts w:cstheme="minorHAnsi"/>
          <w:b/>
          <w:sz w:val="28"/>
          <w:szCs w:val="28"/>
          <w:u w:val="single"/>
        </w:rPr>
        <w:br w:type="page" w:clear="all"/>
      </w:r>
      <w:r>
        <w:rPr>
          <w:rFonts w:cstheme="minorHAnsi"/>
          <w:b/>
          <w:sz w:val="28"/>
          <w:szCs w:val="28"/>
          <w:u w:val="single"/>
        </w:rPr>
      </w:r>
    </w:p>
    <w:p w14:paraId="03A7223A" w14:textId="77777777">
      <w:pPr>
        <w:pStyle w:val="1129"/>
        <w:pBdr/>
        <w:spacing/>
        <w:ind/>
        <w:jc w:val="center"/>
        <w:rPr>
          <w:rFonts w:asciiTheme="minorHAnsi" w:hAnsiTheme="minorHAnsi" w:cstheme="minorHAnsi"/>
        </w:rPr>
      </w:pPr>
      <w:r/>
      <w:bookmarkStart w:id="0" w:name="_Toc227308979"/>
      <w:r>
        <w:rPr>
          <w:rFonts w:asciiTheme="minorHAnsi" w:hAnsiTheme="minorHAnsi" w:cstheme="minorHAnsi"/>
        </w:rPr>
        <w:t xml:space="preserve">Th</w:t>
      </w:r>
      <w:r>
        <w:rPr>
          <w:rFonts w:asciiTheme="minorHAnsi" w:hAnsiTheme="minorHAnsi" w:cstheme="minorHAnsi"/>
        </w:rPr>
        <w:t xml:space="preserve">e Implementation Planning Process</w:t>
      </w:r>
      <w:bookmarkEnd w:id="0"/>
      <w:r/>
      <w:r>
        <w:rPr>
          <w:rFonts w:asciiTheme="minorHAnsi" w:hAnsiTheme="minorHAnsi" w:cstheme="minorHAnsi"/>
        </w:rPr>
      </w:r>
    </w:p>
    <w:p w14:paraId="3DD8AA51" w14:textId="77777777">
      <w:pPr>
        <w:pBdr/>
        <w:spacing/>
        <w:ind/>
        <w:rPr>
          <w:rFonts w:cstheme="minorHAnsi"/>
        </w:rPr>
      </w:pPr>
      <w:r>
        <w:rPr>
          <w:rFonts w:cstheme="minorHAnsi"/>
        </w:rPr>
      </w:r>
      <w:r>
        <w:rPr>
          <w:rFonts w:cstheme="minorHAnsi"/>
        </w:rPr>
      </w:r>
    </w:p>
    <w:p w14:paraId="21FC9DCC" w14:textId="23E527D1">
      <w:pPr>
        <w:pBdr/>
        <w:spacing/>
        <w:ind/>
        <w:rPr>
          <w:rFonts w:cstheme="minorHAnsi"/>
          <w:szCs w:val="24"/>
        </w:rPr>
      </w:pPr>
      <w:r>
        <w:rPr>
          <w:rFonts w:cstheme="minorHAnsi"/>
          <w:szCs w:val="24"/>
        </w:rPr>
        <w:t xml:space="preserve">The implementation planning committee – comprised of Northeast Montana Health Service</w:t>
      </w:r>
      <w:r>
        <w:rPr>
          <w:rFonts w:cstheme="minorHAnsi"/>
          <w:szCs w:val="24"/>
        </w:rPr>
        <w:t xml:space="preserve">’</w:t>
      </w:r>
      <w:r>
        <w:rPr>
          <w:rFonts w:cstheme="minorHAnsi"/>
          <w:szCs w:val="24"/>
        </w:rPr>
        <w:t xml:space="preserve">s (NEMHS) leadership team– participated in an implementation planning process to systematically and thoughtfully respond to all issues and opportunities identified through their community health needs assessment (CHNA) process. </w:t>
      </w:r>
      <w:r>
        <w:rPr>
          <w:rFonts w:cstheme="minorHAnsi"/>
          <w:szCs w:val="24"/>
        </w:rPr>
      </w:r>
    </w:p>
    <w:p w14:paraId="733E5FBE" w14:textId="77777777">
      <w:pPr>
        <w:pBdr/>
        <w:spacing/>
        <w:ind/>
        <w:rPr>
          <w:rFonts w:cstheme="minorHAnsi"/>
          <w:szCs w:val="24"/>
        </w:rPr>
      </w:pPr>
      <w:r>
        <w:rPr>
          <w:rFonts w:cstheme="minorHAnsi"/>
          <w:szCs w:val="24"/>
        </w:rPr>
      </w:r>
      <w:r>
        <w:rPr>
          <w:rFonts w:cstheme="minorHAnsi"/>
          <w:szCs w:val="24"/>
        </w:rPr>
      </w:r>
    </w:p>
    <w:p w14:paraId="3AEBE48D" w14:textId="77777777">
      <w:pPr>
        <w:pBdr/>
        <w:spacing/>
        <w:ind/>
        <w:rPr/>
      </w:pPr>
      <w:r>
        <w:rPr>
          <w:rFonts w:cstheme="minorHAnsi"/>
          <w:szCs w:val="24"/>
        </w:rPr>
        <w:t xml:space="preserve">The Community Health Services Development (CHSD), community health needs assessment was performed in the summer of 2025 to determine the most important health needs and opportunities for Roosevelt county, Montana. </w:t>
      </w:r>
      <w:r>
        <w:rPr>
          <w:rFonts w:eastAsia="Times New Roman" w:cstheme="minorHAnsi"/>
          <w:szCs w:val="24"/>
        </w:rPr>
        <w:t xml:space="preserve">“Needs” were identified as the top </w:t>
      </w:r>
      <w:r>
        <w:rPr>
          <w:rFonts w:cstheme="minorHAnsi"/>
          <w:szCs w:val="24"/>
        </w:rPr>
        <w:t xml:space="preserve">issues or opportunities rated</w:t>
      </w:r>
      <w:r>
        <w:rPr>
          <w:rFonts w:eastAsia="Times New Roman" w:cstheme="minorHAnsi"/>
          <w:szCs w:val="24"/>
        </w:rPr>
        <w:t xml:space="preserve"> by respondents</w:t>
      </w:r>
      <w:r>
        <w:rPr>
          <w:rFonts w:cstheme="minorHAnsi"/>
          <w:szCs w:val="24"/>
        </w:rPr>
        <w:t xml:space="preserve"> during the CHSD survey process (see page</w:t>
      </w:r>
      <w:r>
        <w:rPr>
          <w:rFonts w:cstheme="minorHAnsi"/>
          <w:szCs w:val="24"/>
        </w:rPr>
        <w:t xml:space="preserve"> 9 for a list of “Needs Identified and Prioritized”). For more information regarding the needs identified, as well as the assessment process/approach/methodology, please refer to the facility’s assessment report, which is posted on the facility’s website (</w:t>
      </w:r>
      <w:hyperlink r:id="rId26" w:tooltip="https://www.nemhs.net/" w:history="1">
        <w:r>
          <w:rPr>
            <w:rStyle w:val="1152"/>
          </w:rPr>
          <w:t xml:space="preserve">https://www.nemhs.net/</w:t>
        </w:r>
      </w:hyperlink>
      <w:r>
        <w:t xml:space="preserve">).</w:t>
      </w:r>
      <w:r/>
    </w:p>
    <w:p w14:paraId="06ABB7B0" w14:textId="77777777">
      <w:pPr>
        <w:pBdr/>
        <w:spacing/>
        <w:ind/>
        <w:rPr>
          <w:rFonts w:cstheme="minorHAnsi"/>
          <w:szCs w:val="24"/>
        </w:rPr>
      </w:pPr>
      <w:r>
        <w:rPr>
          <w:rFonts w:cstheme="minorHAnsi"/>
          <w:szCs w:val="24"/>
        </w:rPr>
      </w:r>
      <w:r>
        <w:rPr>
          <w:rFonts w:cstheme="minorHAnsi"/>
          <w:szCs w:val="24"/>
        </w:rPr>
      </w:r>
    </w:p>
    <w:p w14:paraId="04B292D7" w14:textId="77777777">
      <w:pPr>
        <w:pBdr/>
        <w:spacing/>
        <w:ind/>
        <w:rPr>
          <w:rFonts w:eastAsia="Times New Roman" w:cstheme="minorHAnsi"/>
          <w:szCs w:val="24"/>
        </w:rPr>
      </w:pPr>
      <w:r>
        <w:rPr>
          <w:rFonts w:cstheme="minorHAnsi"/>
          <w:szCs w:val="24"/>
        </w:rPr>
        <w:t xml:space="preserve">The implementation planning committee identified the most important health needs to be addressed by reviewing the CH</w:t>
      </w:r>
      <w:r>
        <w:rPr>
          <w:rFonts w:cstheme="minorHAnsi"/>
          <w:szCs w:val="24"/>
        </w:rPr>
        <w:t xml:space="preserve">NA, secondary data, community demographics, and input from representatives of the broad interest of the community, including those with public health expertise (see page 8 for additional information regarding input received from community representatives).</w:t>
      </w:r>
      <w:r>
        <w:rPr>
          <w:rFonts w:eastAsia="Times New Roman" w:cstheme="minorHAnsi"/>
          <w:szCs w:val="24"/>
        </w:rPr>
        <w:t xml:space="preserve">  </w:t>
      </w:r>
      <w:r>
        <w:rPr>
          <w:rFonts w:eastAsia="Times New Roman" w:cstheme="minorHAnsi"/>
          <w:szCs w:val="24"/>
        </w:rPr>
      </w:r>
    </w:p>
    <w:p w14:paraId="51B7E28C" w14:textId="77777777">
      <w:pPr>
        <w:pBdr/>
        <w:spacing/>
        <w:ind/>
        <w:rPr>
          <w:rFonts w:eastAsia="Times New Roman" w:cstheme="minorHAnsi"/>
          <w:szCs w:val="24"/>
        </w:rPr>
      </w:pPr>
      <w:r>
        <w:rPr>
          <w:rFonts w:eastAsia="Times New Roman" w:cstheme="minorHAnsi"/>
          <w:szCs w:val="24"/>
        </w:rPr>
      </w:r>
      <w:r>
        <w:rPr>
          <w:rFonts w:eastAsia="Times New Roman" w:cstheme="minorHAnsi"/>
          <w:szCs w:val="24"/>
        </w:rPr>
      </w:r>
    </w:p>
    <w:p w14:paraId="167B07A7" w14:textId="77777777">
      <w:pPr>
        <w:pBdr/>
        <w:spacing/>
        <w:ind/>
        <w:rPr>
          <w:rFonts w:cstheme="minorHAnsi"/>
          <w:szCs w:val="24"/>
        </w:rPr>
      </w:pPr>
      <w:r>
        <w:rPr>
          <w:rFonts w:cstheme="minorHAnsi"/>
          <w:szCs w:val="24"/>
        </w:rPr>
        <w:t xml:space="preserve">The implementation planning committee then determined which needs or opportunities could be addressed considering NEMH</w:t>
      </w:r>
      <w:r>
        <w:rPr>
          <w:rFonts w:cstheme="minorHAnsi"/>
          <w:szCs w:val="24"/>
        </w:rPr>
        <w:t xml:space="preserve">S’s parameters of resources and limitations. The committee then prioritized the needs/opportunities using the additional parameters of the organizational vision, mission, and values, as well as existing and potential community partners. Participants then c</w:t>
      </w:r>
      <w:r>
        <w:rPr>
          <w:rFonts w:cstheme="minorHAnsi"/>
          <w:szCs w:val="24"/>
        </w:rPr>
        <w:t xml:space="preserve">reated a goal to achieve through strategies and activities, as well as the general approach to meeting the stated goal (i.e. staff member responsibilities, timeline, potential community partners, anticipated impact(s), and performance/evaluation measures).</w:t>
      </w:r>
      <w:r>
        <w:rPr>
          <w:rFonts w:cstheme="minorHAnsi"/>
          <w:szCs w:val="24"/>
        </w:rPr>
      </w:r>
    </w:p>
    <w:p w14:paraId="08E14FA3" w14:textId="77777777">
      <w:pPr>
        <w:pBdr/>
        <w:spacing/>
        <w:ind/>
        <w:rPr>
          <w:rFonts w:cstheme="minorHAnsi"/>
          <w:szCs w:val="24"/>
        </w:rPr>
      </w:pPr>
      <w:r>
        <w:rPr>
          <w:rFonts w:cstheme="minorHAnsi"/>
          <w:szCs w:val="24"/>
        </w:rPr>
      </w:r>
      <w:r>
        <w:rPr>
          <w:rFonts w:cstheme="minorHAnsi"/>
          <w:szCs w:val="24"/>
        </w:rPr>
      </w:r>
    </w:p>
    <w:p w14:paraId="46B8DC02" w14:textId="77777777">
      <w:pPr>
        <w:pBdr/>
        <w:spacing/>
        <w:ind/>
        <w:rPr>
          <w:rFonts w:cstheme="minorHAnsi"/>
          <w:szCs w:val="24"/>
        </w:rPr>
      </w:pPr>
      <w:r>
        <w:rPr>
          <w:rFonts w:cstheme="minorHAnsi"/>
          <w:szCs w:val="24"/>
        </w:rPr>
        <w:t xml:space="preserve">The prioritized health needs as determined through the assessment process and which the facility will be addressing relates to the following healthcare issues:</w:t>
      </w:r>
      <w:r>
        <w:rPr>
          <w:rFonts w:cstheme="minorHAnsi"/>
          <w:szCs w:val="24"/>
        </w:rPr>
      </w:r>
    </w:p>
    <w:p w14:paraId="5AA75173" w14:textId="77777777">
      <w:pPr>
        <w:pBdr/>
        <w:spacing/>
        <w:ind/>
        <w:rPr>
          <w:rFonts w:cstheme="minorHAnsi"/>
          <w:szCs w:val="24"/>
        </w:rPr>
      </w:pPr>
      <w:r>
        <w:rPr>
          <w:rFonts w:cstheme="minorHAnsi"/>
          <w:szCs w:val="24"/>
        </w:rPr>
      </w:r>
      <w:r>
        <w:rPr>
          <w:rFonts w:cstheme="minorHAnsi"/>
          <w:szCs w:val="24"/>
        </w:rPr>
      </w:r>
    </w:p>
    <w:p w14:paraId="23686543" w14:textId="73CE572B">
      <w:pPr>
        <w:pStyle w:val="1145"/>
        <w:numPr>
          <w:ilvl w:val="0"/>
          <w:numId w:val="7"/>
        </w:numPr>
        <w:pBdr/>
        <w:shd w:val="clear" w:color="auto" w:fill="ce8d3e" w:themeFill="accent3"/>
        <w:spacing w:after="160"/>
        <w:ind w:right="720"/>
        <w:rPr>
          <w:rFonts w:cstheme="minorHAnsi"/>
          <w:b/>
          <w:bCs/>
          <w:szCs w:val="24"/>
        </w:rPr>
      </w:pPr>
      <w:r>
        <w:rPr>
          <w:rFonts w:cs="Arial"/>
          <w:b/>
          <w:bCs/>
          <w:szCs w:val="24"/>
        </w:rPr>
        <w:t xml:space="preserve">Access to health </w:t>
      </w:r>
      <w:r>
        <w:rPr>
          <w:rFonts w:cs="Arial"/>
          <w:b/>
          <w:bCs/>
          <w:szCs w:val="24"/>
        </w:rPr>
        <w:t xml:space="preserve">resources</w:t>
      </w:r>
      <w:r>
        <w:rPr>
          <w:rFonts w:cs="Arial"/>
          <w:b/>
          <w:bCs/>
          <w:szCs w:val="24"/>
        </w:rPr>
        <w:t xml:space="preserve"> and services</w:t>
      </w:r>
      <w:r>
        <w:rPr>
          <w:rFonts w:cstheme="minorHAnsi"/>
          <w:b/>
          <w:bCs/>
          <w:szCs w:val="24"/>
        </w:rPr>
      </w:r>
    </w:p>
    <w:p w14:paraId="77018E35" w14:textId="6730B7B6">
      <w:pPr>
        <w:pStyle w:val="1145"/>
        <w:numPr>
          <w:ilvl w:val="0"/>
          <w:numId w:val="7"/>
        </w:numPr>
        <w:pBdr/>
        <w:shd w:val="clear" w:color="auto" w:fill="f0917b" w:themeFill="accent5" w:themeFillTint="99"/>
        <w:spacing/>
        <w:ind w:right="720"/>
        <w:rPr>
          <w:rFonts w:cstheme="minorHAnsi"/>
          <w:b/>
          <w:bCs/>
          <w:szCs w:val="24"/>
        </w:rPr>
      </w:pPr>
      <w:r>
        <w:rPr>
          <w:rFonts w:cstheme="minorHAnsi"/>
          <w:b/>
          <w:bCs/>
          <w:szCs w:val="24"/>
        </w:rPr>
        <w:t xml:space="preserve">Specialty care</w:t>
      </w:r>
      <w:r>
        <w:rPr>
          <w:rFonts w:cstheme="minorHAnsi"/>
          <w:b/>
          <w:bCs/>
          <w:szCs w:val="24"/>
        </w:rPr>
      </w:r>
    </w:p>
    <w:p w14:paraId="11B9836A" w14:textId="0B79183C">
      <w:pPr>
        <w:pStyle w:val="1145"/>
        <w:numPr>
          <w:ilvl w:val="0"/>
          <w:numId w:val="7"/>
        </w:numPr>
        <w:pBdr/>
        <w:shd w:val="clear" w:color="auto" w:fill="f3a873" w:themeFill="accent4" w:themeFillTint="99"/>
        <w:spacing/>
        <w:ind w:right="720"/>
        <w:rPr>
          <w:rFonts w:cstheme="minorHAnsi"/>
          <w:b/>
          <w:bCs/>
          <w:szCs w:val="24"/>
        </w:rPr>
      </w:pPr>
      <w:r>
        <w:rPr>
          <w:rFonts w:cstheme="minorHAnsi"/>
          <w:b/>
          <w:bCs/>
          <w:szCs w:val="24"/>
        </w:rPr>
        <w:t xml:space="preserve">Community health</w:t>
      </w:r>
      <w:r>
        <w:rPr>
          <w:rFonts w:cstheme="minorHAnsi"/>
          <w:b/>
          <w:bCs/>
          <w:szCs w:val="24"/>
        </w:rPr>
      </w:r>
    </w:p>
    <w:p w14:paraId="7A697B57" w14:textId="77777777">
      <w:pPr>
        <w:pBdr/>
        <w:spacing/>
        <w:ind/>
        <w:rPr>
          <w:rFonts w:cstheme="minorHAnsi"/>
          <w:szCs w:val="24"/>
        </w:rPr>
      </w:pPr>
      <w:r>
        <w:rPr>
          <w:rFonts w:cstheme="minorHAnsi"/>
          <w:szCs w:val="24"/>
        </w:rPr>
      </w:r>
      <w:r>
        <w:rPr>
          <w:rFonts w:cstheme="minorHAnsi"/>
          <w:szCs w:val="24"/>
        </w:rPr>
      </w:r>
    </w:p>
    <w:p w14:paraId="129D6EB1" w14:textId="77777777">
      <w:pPr>
        <w:pBdr/>
        <w:spacing/>
        <w:ind/>
        <w:rPr>
          <w:rFonts w:cstheme="minorHAnsi"/>
          <w:szCs w:val="24"/>
        </w:rPr>
      </w:pPr>
      <w:r>
        <w:rPr>
          <w:rFonts w:cstheme="minorHAnsi"/>
          <w:szCs w:val="24"/>
        </w:rPr>
      </w:r>
      <w:r>
        <w:rPr>
          <w:rFonts w:cstheme="minorHAnsi"/>
          <w:szCs w:val="24"/>
        </w:rPr>
      </w:r>
    </w:p>
    <w:p w14:paraId="346F99F1" w14:textId="77777777">
      <w:pPr>
        <w:pBdr/>
        <w:spacing/>
        <w:ind/>
        <w:rPr>
          <w:rFonts w:cstheme="minorHAnsi"/>
          <w:szCs w:val="24"/>
        </w:rPr>
      </w:pPr>
      <w:r>
        <w:rPr>
          <w:rFonts w:cstheme="minorHAnsi"/>
          <w:szCs w:val="24"/>
        </w:rPr>
      </w:r>
      <w:r>
        <w:rPr>
          <w:rFonts w:cstheme="minorHAnsi"/>
          <w:szCs w:val="24"/>
        </w:rPr>
      </w:r>
    </w:p>
    <w:p w14:paraId="1BD7083C" w14:textId="1D26E477">
      <w:pPr>
        <w:pBdr/>
        <w:spacing/>
        <w:ind/>
        <w:rPr>
          <w:rFonts w:cstheme="minorHAnsi"/>
          <w:szCs w:val="24"/>
        </w:rPr>
      </w:pPr>
      <w:r>
        <w:rPr>
          <w:rFonts w:cstheme="minorHAnsi"/>
          <w:szCs w:val="24"/>
        </w:rPr>
        <w:t xml:space="preserve">In addressing the aforementioned issues,</w:t>
      </w:r>
      <w:r>
        <w:rPr>
          <w:rFonts w:cstheme="minorHAnsi"/>
          <w:szCs w:val="24"/>
        </w:rPr>
        <w:t xml:space="preserve"> </w:t>
      </w:r>
      <w:r>
        <w:rPr>
          <w:rFonts w:cstheme="minorHAnsi"/>
          <w:szCs w:val="24"/>
        </w:rPr>
        <w:t xml:space="preserve">NEMHS</w:t>
      </w:r>
      <w:r>
        <w:rPr>
          <w:rFonts w:cstheme="minorHAnsi"/>
          <w:szCs w:val="24"/>
        </w:rPr>
        <w:t xml:space="preserve"> seeks to:</w:t>
      </w:r>
      <w:r>
        <w:rPr>
          <w:rFonts w:cstheme="minorHAnsi"/>
          <w:szCs w:val="24"/>
        </w:rPr>
      </w:r>
    </w:p>
    <w:p w14:paraId="2363A111" w14:textId="77777777">
      <w:pPr>
        <w:pStyle w:val="1145"/>
        <w:numPr>
          <w:ilvl w:val="0"/>
          <w:numId w:val="3"/>
        </w:numPr>
        <w:pBdr/>
        <w:spacing/>
        <w:ind/>
        <w:rPr>
          <w:rFonts w:cstheme="minorHAnsi"/>
          <w:szCs w:val="24"/>
        </w:rPr>
      </w:pPr>
      <w:r>
        <w:rPr>
          <w:rFonts w:cstheme="minorHAnsi"/>
          <w:szCs w:val="24"/>
        </w:rPr>
        <w:t xml:space="preserve">Improve access to healthcare services</w:t>
      </w:r>
      <w:r>
        <w:rPr>
          <w:rFonts w:cstheme="minorHAnsi"/>
          <w:szCs w:val="24"/>
        </w:rPr>
      </w:r>
    </w:p>
    <w:p w14:paraId="4026D6A7" w14:textId="77777777">
      <w:pPr>
        <w:pStyle w:val="1145"/>
        <w:numPr>
          <w:ilvl w:val="0"/>
          <w:numId w:val="3"/>
        </w:numPr>
        <w:pBdr/>
        <w:spacing/>
        <w:ind/>
        <w:rPr>
          <w:rFonts w:cstheme="minorHAnsi"/>
          <w:szCs w:val="24"/>
        </w:rPr>
      </w:pPr>
      <w:r>
        <w:rPr>
          <w:rFonts w:cstheme="minorHAnsi"/>
          <w:szCs w:val="24"/>
        </w:rPr>
        <w:t xml:space="preserve">Enhance the health of the community</w:t>
      </w:r>
      <w:r>
        <w:rPr>
          <w:rFonts w:cstheme="minorHAnsi"/>
          <w:szCs w:val="24"/>
        </w:rPr>
      </w:r>
    </w:p>
    <w:p w14:paraId="2D059777" w14:textId="77777777">
      <w:pPr>
        <w:pStyle w:val="1145"/>
        <w:numPr>
          <w:ilvl w:val="0"/>
          <w:numId w:val="3"/>
        </w:numPr>
        <w:pBdr/>
        <w:spacing/>
        <w:ind/>
        <w:rPr>
          <w:rFonts w:cstheme="minorHAnsi"/>
          <w:szCs w:val="24"/>
        </w:rPr>
      </w:pPr>
      <w:r>
        <w:rPr>
          <w:rFonts w:cstheme="minorHAnsi"/>
          <w:szCs w:val="24"/>
        </w:rPr>
        <w:t xml:space="preserve">Advance med</w:t>
      </w:r>
      <w:r>
        <w:rPr>
          <w:rFonts w:cstheme="minorHAnsi"/>
          <w:szCs w:val="24"/>
        </w:rPr>
        <w:t xml:space="preserve">ical or health knowledge</w:t>
      </w:r>
      <w:r>
        <w:rPr>
          <w:rFonts w:cstheme="minorHAnsi"/>
          <w:szCs w:val="24"/>
        </w:rPr>
      </w:r>
    </w:p>
    <w:p w14:paraId="592A936F" w14:textId="77777777">
      <w:pPr>
        <w:pStyle w:val="1169"/>
        <w:pBdr/>
        <w:spacing w:line="240" w:lineRule="auto"/>
        <w:ind w:left="0"/>
        <w:rPr>
          <w:rFonts w:cstheme="minorHAnsi"/>
          <w:b/>
          <w:szCs w:val="24"/>
          <w:u w:val="single"/>
        </w:rPr>
      </w:pPr>
      <w:r>
        <w:rPr>
          <w:rFonts w:cstheme="minorHAnsi"/>
          <w:b/>
          <w:szCs w:val="24"/>
          <w:u w:val="single"/>
        </w:rPr>
      </w:r>
      <w:r>
        <w:rPr>
          <w:rFonts w:cstheme="minorHAnsi"/>
          <w:b/>
          <w:szCs w:val="24"/>
          <w:u w:val="single"/>
        </w:rPr>
      </w:r>
    </w:p>
    <w:p w14:paraId="45ABE048" w14:textId="3511DABC">
      <w:pPr>
        <w:pStyle w:val="1169"/>
        <w:pBdr/>
        <w:spacing w:line="240" w:lineRule="auto"/>
        <w:ind w:left="0"/>
        <w:rPr>
          <w:rFonts w:cstheme="minorHAnsi"/>
          <w:b/>
          <w:szCs w:val="24"/>
          <w:u w:val="single"/>
        </w:rPr>
      </w:pPr>
      <w:r>
        <w:rPr>
          <w:rFonts w:cstheme="minorHAnsi"/>
          <w:b/>
          <w:szCs w:val="24"/>
          <w:u w:val="single"/>
        </w:rPr>
      </w:r>
      <w:r>
        <w:rPr>
          <w:rFonts w:cstheme="minorHAnsi"/>
          <w:b/>
          <w:szCs w:val="24"/>
          <w:u w:val="single"/>
        </w:rPr>
      </w:r>
    </w:p>
    <w:p w14:paraId="098935D3" w14:textId="77777777">
      <w:pPr>
        <w:pBdr/>
        <w:spacing/>
        <w:ind/>
        <w:rPr>
          <w:rFonts w:cstheme="minorHAnsi"/>
          <w:szCs w:val="24"/>
        </w:rPr>
      </w:pPr>
      <w:r>
        <w:rPr>
          <w:rFonts w:cstheme="minorHAnsi"/>
          <w:b/>
          <w:szCs w:val="24"/>
          <w:u w:val="single"/>
        </w:rPr>
        <w:t xml:space="preserve">Facility Mission:</w:t>
      </w:r>
      <w:r>
        <w:rPr>
          <w:rFonts w:cstheme="minorHAnsi"/>
          <w:bCs/>
          <w:szCs w:val="24"/>
        </w:rPr>
        <w:t xml:space="preserve"> NEMHS is committed to Improving the Quality of Human Life in our Community</w:t>
      </w:r>
      <w:r>
        <w:rPr>
          <w:rFonts w:cstheme="minorHAnsi"/>
          <w:szCs w:val="24"/>
        </w:rPr>
      </w:r>
    </w:p>
    <w:p w14:paraId="6FE29393" w14:textId="77777777">
      <w:pPr>
        <w:pBdr/>
        <w:spacing/>
        <w:ind/>
        <w:rPr>
          <w:rFonts w:cstheme="minorHAnsi"/>
          <w:b/>
          <w:smallCaps/>
          <w:szCs w:val="24"/>
        </w:rPr>
      </w:pPr>
      <w:r>
        <w:rPr>
          <w:rFonts w:cstheme="minorHAnsi"/>
          <w:b/>
          <w:smallCaps/>
          <w:szCs w:val="24"/>
        </w:rPr>
      </w:r>
      <w:r>
        <w:rPr>
          <w:rFonts w:cstheme="minorHAnsi"/>
          <w:b/>
          <w:smallCaps/>
          <w:szCs w:val="24"/>
        </w:rPr>
      </w:r>
    </w:p>
    <w:p w14:paraId="624469E2" w14:textId="77777777">
      <w:pPr>
        <w:pBdr/>
        <w:spacing/>
        <w:ind/>
        <w:rPr>
          <w:rFonts w:cstheme="minorHAnsi"/>
          <w:bCs/>
          <w:szCs w:val="24"/>
        </w:rPr>
      </w:pPr>
      <w:r>
        <w:rPr>
          <w:rFonts w:cstheme="minorHAnsi"/>
          <w:b/>
          <w:szCs w:val="24"/>
          <w:u w:val="single"/>
        </w:rPr>
        <w:t xml:space="preserve">Facility Vision:</w:t>
      </w:r>
      <w:r>
        <w:rPr>
          <w:rFonts w:cstheme="minorHAnsi"/>
          <w:bCs/>
          <w:szCs w:val="24"/>
        </w:rPr>
        <w:t xml:space="preserve"> Our vision is to be the first choice in healthcare</w:t>
      </w:r>
      <w:r>
        <w:rPr>
          <w:rFonts w:cstheme="minorHAnsi"/>
          <w:bCs/>
          <w:szCs w:val="24"/>
        </w:rPr>
      </w:r>
    </w:p>
    <w:p w14:paraId="759EEA20" w14:textId="77777777">
      <w:pPr>
        <w:pBdr/>
        <w:spacing/>
        <w:ind/>
        <w:rPr>
          <w:rFonts w:cstheme="minorHAnsi"/>
          <w:b/>
          <w:szCs w:val="24"/>
          <w:u w:val="single"/>
        </w:rPr>
      </w:pPr>
      <w:r>
        <w:rPr>
          <w:rFonts w:cstheme="minorHAnsi"/>
          <w:b/>
          <w:szCs w:val="24"/>
          <w:u w:val="single"/>
        </w:rPr>
      </w:r>
      <w:r>
        <w:rPr>
          <w:rFonts w:cstheme="minorHAnsi"/>
          <w:b/>
          <w:szCs w:val="24"/>
          <w:u w:val="single"/>
        </w:rPr>
      </w:r>
    </w:p>
    <w:p w14:paraId="6C88C475" w14:textId="77777777">
      <w:pPr>
        <w:pBdr/>
        <w:spacing/>
        <w:ind/>
        <w:rPr>
          <w:rFonts w:cstheme="minorHAnsi"/>
          <w:b/>
          <w:szCs w:val="24"/>
          <w:u w:val="single"/>
        </w:rPr>
      </w:pPr>
      <w:r>
        <w:rPr>
          <w:rFonts w:cstheme="minorHAnsi"/>
          <w:b/>
          <w:szCs w:val="24"/>
          <w:u w:val="single"/>
        </w:rPr>
        <w:t xml:space="preserve">Facility Values: </w:t>
      </w:r>
      <w:r>
        <w:rPr>
          <w:rFonts w:cstheme="minorHAnsi"/>
          <w:b/>
          <w:szCs w:val="24"/>
          <w:u w:val="single"/>
        </w:rPr>
      </w:r>
    </w:p>
    <w:p w14:paraId="3C45197D" w14:textId="77777777">
      <w:pPr>
        <w:pStyle w:val="1145"/>
        <w:numPr>
          <w:ilvl w:val="0"/>
          <w:numId w:val="22"/>
        </w:numPr>
        <w:pBdr/>
        <w:spacing/>
        <w:ind/>
        <w:rPr>
          <w:rFonts w:cstheme="minorHAnsi"/>
          <w:bCs/>
          <w:szCs w:val="24"/>
        </w:rPr>
      </w:pPr>
      <w:r>
        <w:rPr>
          <w:rFonts w:cstheme="minorHAnsi"/>
          <w:b/>
          <w:szCs w:val="24"/>
        </w:rPr>
        <w:t xml:space="preserve">We treat</w:t>
      </w:r>
      <w:r>
        <w:rPr>
          <w:rFonts w:cstheme="minorHAnsi"/>
          <w:bCs/>
          <w:szCs w:val="24"/>
        </w:rPr>
        <w:t xml:space="preserve"> everyone with compassion, dignity, and respect.</w:t>
      </w:r>
      <w:r>
        <w:rPr>
          <w:rFonts w:cstheme="minorHAnsi"/>
          <w:bCs/>
          <w:szCs w:val="24"/>
        </w:rPr>
      </w:r>
    </w:p>
    <w:p w14:paraId="2FD863FB" w14:textId="77777777">
      <w:pPr>
        <w:pStyle w:val="1145"/>
        <w:numPr>
          <w:ilvl w:val="0"/>
          <w:numId w:val="22"/>
        </w:numPr>
        <w:pBdr/>
        <w:spacing/>
        <w:ind/>
        <w:rPr>
          <w:rFonts w:cstheme="minorHAnsi"/>
          <w:bCs/>
          <w:szCs w:val="24"/>
        </w:rPr>
      </w:pPr>
      <w:r>
        <w:rPr>
          <w:rFonts w:cstheme="minorHAnsi"/>
          <w:b/>
          <w:szCs w:val="24"/>
        </w:rPr>
        <w:t xml:space="preserve">We act</w:t>
      </w:r>
      <w:r>
        <w:rPr>
          <w:rFonts w:cstheme="minorHAnsi"/>
          <w:bCs/>
          <w:szCs w:val="24"/>
        </w:rPr>
        <w:t xml:space="preserve"> with absolute honesty and fairness in the way we conduct our business.</w:t>
      </w:r>
      <w:r>
        <w:rPr>
          <w:rFonts w:cstheme="minorHAnsi"/>
          <w:bCs/>
          <w:szCs w:val="24"/>
        </w:rPr>
      </w:r>
    </w:p>
    <w:p w14:paraId="4F229744" w14:textId="10C9FC15">
      <w:pPr>
        <w:pStyle w:val="1145"/>
        <w:numPr>
          <w:ilvl w:val="0"/>
          <w:numId w:val="22"/>
        </w:numPr>
        <w:pBdr/>
        <w:spacing/>
        <w:ind/>
        <w:rPr>
          <w:rFonts w:cstheme="minorHAnsi"/>
          <w:bCs/>
          <w:szCs w:val="24"/>
        </w:rPr>
      </w:pPr>
      <w:r>
        <w:rPr>
          <w:rFonts w:cstheme="minorHAnsi"/>
          <w:b/>
          <w:szCs w:val="24"/>
        </w:rPr>
        <w:t xml:space="preserve">We trust</w:t>
      </w:r>
      <w:r>
        <w:rPr>
          <w:rFonts w:cstheme="minorHAnsi"/>
          <w:bCs/>
          <w:szCs w:val="24"/>
        </w:rPr>
        <w:t xml:space="preserve"> our colleagues as valuable members of our healthcare team.</w:t>
      </w:r>
      <w:r>
        <w:rPr>
          <w:rFonts w:cstheme="minorHAnsi"/>
          <w:bCs/>
          <w:szCs w:val="24"/>
        </w:rPr>
      </w:r>
    </w:p>
    <w:p w14:paraId="76E1F024" w14:textId="646AF912">
      <w:pPr>
        <w:pBdr/>
        <w:spacing/>
        <w:ind/>
        <w:rPr>
          <w:rFonts w:cstheme="minorHAnsi"/>
          <w:b/>
          <w:szCs w:val="24"/>
          <w:u w:val="single"/>
        </w:rPr>
      </w:pPr>
      <w:r>
        <w:rPr>
          <w:rFonts w:cstheme="minorHAnsi"/>
          <w:b/>
          <w:szCs w:val="24"/>
          <w:u w:val="single"/>
        </w:rPr>
      </w:r>
      <w:r>
        <w:rPr>
          <w:rFonts w:cstheme="minorHAnsi"/>
          <w:b/>
          <w:szCs w:val="24"/>
          <w:u w:val="single"/>
        </w:rPr>
      </w:r>
    </w:p>
    <w:p w14:paraId="4FBC0594" w14:textId="1DF82EC6">
      <w:pPr>
        <w:pBdr/>
        <w:spacing/>
        <w:ind/>
        <w:rPr>
          <w:rFonts w:cstheme="minorHAnsi"/>
          <w:color w:val="000000" w:themeColor="text1"/>
          <w:szCs w:val="24"/>
        </w:rPr>
      </w:pPr>
      <w:r>
        <w:rPr>
          <w:rFonts w:cstheme="minorHAnsi"/>
          <w:b/>
          <w:color w:val="000000" w:themeColor="text1"/>
          <w:szCs w:val="24"/>
          <w:u w:val="single"/>
        </w:rPr>
        <w:t xml:space="preserve">Implementation Planning </w:t>
      </w:r>
      <w:r>
        <w:rPr>
          <w:rFonts w:cstheme="minorHAnsi"/>
          <w:b/>
          <w:color w:val="000000" w:themeColor="text1"/>
          <w:szCs w:val="24"/>
          <w:u w:val="single"/>
        </w:rPr>
        <w:t xml:space="preserve">Committee Members</w:t>
      </w:r>
      <w:r>
        <w:rPr>
          <w:rFonts w:cstheme="minorHAnsi"/>
          <w:b/>
          <w:color w:val="000000" w:themeColor="text1"/>
          <w:szCs w:val="24"/>
        </w:rPr>
        <w:t xml:space="preserve">:</w:t>
      </w:r>
      <w:r>
        <w:rPr>
          <w:rFonts w:cstheme="minorHAnsi"/>
          <w:color w:val="000000" w:themeColor="text1"/>
          <w:szCs w:val="24"/>
        </w:rPr>
      </w:r>
    </w:p>
    <w:p w14:paraId="294813C0" w14:textId="22FD3559">
      <w:pPr>
        <w:pStyle w:val="1166"/>
        <w:numPr>
          <w:ilvl w:val="0"/>
          <w:numId w:val="14"/>
        </w:numPr>
        <w:pBdr/>
        <w:spacing/>
        <w:ind/>
        <w:rPr>
          <w:rFonts w:asciiTheme="minorHAnsi" w:hAnsiTheme="minorHAnsi" w:cstheme="minorHAnsi"/>
          <w:color w:val="000000" w:themeColor="text1"/>
        </w:rPr>
      </w:pPr>
      <w:r>
        <w:rPr>
          <w:rFonts w:asciiTheme="minorHAnsi" w:hAnsiTheme="minorHAnsi" w:cstheme="minorHAnsi"/>
          <w:color w:val="000000" w:themeColor="text1"/>
        </w:rPr>
        <w:t xml:space="preserve">Roger Fisher – CEO, NEMHS</w:t>
      </w:r>
      <w:r>
        <w:rPr>
          <w:rFonts w:asciiTheme="minorHAnsi" w:hAnsiTheme="minorHAnsi" w:cstheme="minorHAnsi"/>
          <w:color w:val="000000" w:themeColor="text1"/>
        </w:rPr>
      </w:r>
    </w:p>
    <w:p w14:paraId="453FD4DD" w14:textId="13694FAE">
      <w:pPr>
        <w:pStyle w:val="1166"/>
        <w:numPr>
          <w:ilvl w:val="0"/>
          <w:numId w:val="14"/>
        </w:numPr>
        <w:pBdr/>
        <w:spacing/>
        <w:ind/>
        <w:rPr>
          <w:rFonts w:asciiTheme="minorHAnsi" w:hAnsiTheme="minorHAnsi" w:cstheme="minorHAnsi"/>
          <w:color w:val="000000" w:themeColor="text1"/>
        </w:rPr>
      </w:pPr>
      <w:r>
        <w:rPr>
          <w:rFonts w:asciiTheme="minorHAnsi" w:hAnsiTheme="minorHAnsi" w:cstheme="minorHAnsi"/>
          <w:color w:val="000000" w:themeColor="text1"/>
        </w:rPr>
        <w:t xml:space="preserve">Scott Olander – CFO, NEMHS</w:t>
      </w:r>
      <w:r>
        <w:rPr>
          <w:rFonts w:asciiTheme="minorHAnsi" w:hAnsiTheme="minorHAnsi" w:cstheme="minorHAnsi"/>
          <w:color w:val="000000" w:themeColor="text1"/>
        </w:rPr>
      </w:r>
    </w:p>
    <w:p w14:paraId="71FC5759" w14:textId="77777777">
      <w:pPr>
        <w:pStyle w:val="1166"/>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p>
    <w:p w14:paraId="7B2EE663" w14:textId="5C75B54B">
      <w:pPr>
        <w:pStyle w:val="1166"/>
        <w:pBdr/>
        <w:spacing/>
        <w:ind/>
        <w:rPr>
          <w:rFonts w:asciiTheme="minorHAnsi" w:hAnsiTheme="minorHAnsi" w:cstheme="minorHAnsi"/>
          <w:color w:val="000000" w:themeColor="text1"/>
        </w:rPr>
        <w:sectPr>
          <w:headerReference w:type="default" r:id="rId9"/>
          <w:headerReference w:type="even" r:id="rId10"/>
          <w:headerReference w:type="first" r:id="rId11"/>
          <w:footerReference w:type="default" r:id="rId15"/>
          <w:footerReference w:type="even" r:id="rId16"/>
          <w:footerReference w:type="first" r:id="rId17"/>
          <w:footnotePr/>
          <w:endnotePr/>
          <w:type w:val="nextPage"/>
          <w:pgSz w:h="12240" w:orient="landscape" w:w="15840"/>
          <w:pgMar w:top="1440" w:right="1440" w:bottom="1170" w:left="1440" w:header="576" w:footer="465" w:gutter="0"/>
          <w:pgBorders w:display="allPages" w:offsetFrom="page" w:zOrder="front">
            <w:bottom w:color="auto" w:space="24" w:sz="18" w:val="single"/>
            <w:left w:color="auto" w:space="24" w:sz="18" w:val="single"/>
            <w:right w:color="auto" w:space="24" w:sz="18" w:val="single"/>
            <w:top w:color="auto" w:space="24" w:sz="18" w:val="single"/>
          </w:pgBorders>
          <w:cols w:num="1" w:sep="0" w:space="720" w:equalWidth="1"/>
          <w:titlePg/>
        </w:sectPr>
      </w:pPr>
      <w:r>
        <w:rPr>
          <w:rFonts w:asciiTheme="minorHAnsi" w:hAnsiTheme="minorHAnsi" w:cstheme="minorHAnsi"/>
          <w:color w:val="000000" w:themeColor="text1"/>
        </w:rPr>
      </w:r>
      <w:r>
        <w:rPr>
          <w:rFonts w:asciiTheme="minorHAnsi" w:hAnsiTheme="minorHAnsi" w:cstheme="minorHAnsi"/>
          <w:color w:val="000000" w:themeColor="text1"/>
        </w:rPr>
      </w:r>
    </w:p>
    <w:p w14:paraId="07386CE5" w14:textId="09B014D6">
      <w:pPr>
        <w:pStyle w:val="1166"/>
        <w:numPr>
          <w:ilvl w:val="0"/>
          <w:numId w:val="8"/>
        </w:numPr>
        <w:pBdr/>
        <w:spacing/>
        <w:ind/>
        <w:rPr>
          <w:rFonts w:eastAsiaTheme="majorEastAsia" w:cstheme="minorHAnsi"/>
          <w:b/>
          <w:bCs/>
          <w:color w:val="c49a00" w:themeColor="accent1" w:themeShade="BF"/>
          <w:sz w:val="28"/>
          <w:szCs w:val="28"/>
        </w:rPr>
      </w:pPr>
      <w:r>
        <w:rPr>
          <w:rFonts w:cstheme="minorHAnsi"/>
        </w:rPr>
        <w:br w:type="page" w:clear="all"/>
      </w:r>
      <w:r>
        <w:rPr>
          <w:rFonts w:eastAsiaTheme="majorEastAsia" w:cstheme="minorHAnsi"/>
          <w:b/>
          <w:bCs/>
          <w:color w:val="c49a00" w:themeColor="accent1" w:themeShade="BF"/>
          <w:sz w:val="28"/>
          <w:szCs w:val="28"/>
        </w:rPr>
      </w:r>
    </w:p>
    <w:p w14:paraId="1E6BE919" w14:textId="44763E14">
      <w:pPr>
        <w:pStyle w:val="1129"/>
        <w:pBdr/>
        <w:spacing/>
        <w:ind/>
        <w:jc w:val="center"/>
        <w:rPr>
          <w:rFonts w:asciiTheme="minorHAnsi" w:hAnsiTheme="minorHAnsi" w:cstheme="minorHAnsi"/>
        </w:rPr>
      </w:pPr>
      <w:r/>
      <w:bookmarkStart w:id="1" w:name="_Toc227308980"/>
      <w:r>
        <w:rPr>
          <w:rFonts w:asciiTheme="minorHAnsi" w:hAnsiTheme="minorHAnsi" w:cstheme="minorHAnsi"/>
        </w:rPr>
        <w:t xml:space="preserve">Pri</w:t>
      </w:r>
      <w:r>
        <w:rPr>
          <w:rFonts w:asciiTheme="minorHAnsi" w:hAnsiTheme="minorHAnsi" w:cstheme="minorHAnsi"/>
        </w:rPr>
        <w:t xml:space="preserve">o</w:t>
      </w:r>
      <w:r>
        <w:rPr>
          <w:rFonts w:asciiTheme="minorHAnsi" w:hAnsiTheme="minorHAnsi" w:cstheme="minorHAnsi"/>
        </w:rPr>
        <w:t xml:space="preserve">ritizing the Community Health Needs</w:t>
      </w:r>
      <w:bookmarkEnd w:id="1"/>
      <w:r/>
      <w:r>
        <w:rPr>
          <w:rFonts w:asciiTheme="minorHAnsi" w:hAnsiTheme="minorHAnsi" w:cstheme="minorHAnsi"/>
        </w:rPr>
      </w:r>
    </w:p>
    <w:p w14:paraId="2CDA32C2" w14:textId="77777777">
      <w:pPr>
        <w:pBdr/>
        <w:spacing/>
        <w:ind/>
        <w:rPr>
          <w:rFonts w:cstheme="minorHAnsi"/>
        </w:rPr>
      </w:pPr>
      <w:r>
        <w:rPr>
          <w:rFonts w:cstheme="minorHAnsi"/>
        </w:rPr>
      </w:r>
      <w:r>
        <w:rPr>
          <w:rFonts w:cstheme="minorHAnsi"/>
        </w:rPr>
      </w:r>
    </w:p>
    <w:p w14:paraId="49DA0BAD" w14:textId="77777777">
      <w:pPr>
        <w:pBdr/>
        <w:spacing/>
        <w:ind/>
        <w:rPr>
          <w:rFonts w:cstheme="minorHAnsi"/>
        </w:rPr>
      </w:pPr>
      <w:r>
        <w:rPr>
          <w:rFonts w:cstheme="minorHAnsi"/>
        </w:rPr>
        <w:t xml:space="preserve">The </w:t>
      </w:r>
      <w:r>
        <w:rPr>
          <w:rFonts w:cstheme="minorHAnsi"/>
        </w:rPr>
        <w:t xml:space="preserve">steering and </w:t>
      </w:r>
      <w:r>
        <w:rPr>
          <w:rFonts w:cstheme="minorHAnsi"/>
        </w:rPr>
        <w:t xml:space="preserve">implementation planning committee</w:t>
      </w:r>
      <w:r>
        <w:rPr>
          <w:rFonts w:cstheme="minorHAnsi"/>
        </w:rPr>
        <w:t xml:space="preserve">s</w:t>
      </w:r>
      <w:r>
        <w:rPr>
          <w:rFonts w:cstheme="minorHAnsi"/>
        </w:rPr>
        <w:t xml:space="preserve"> completed the following to prioritize the community health needs:</w:t>
      </w:r>
      <w:r>
        <w:rPr>
          <w:rFonts w:cstheme="minorHAnsi"/>
        </w:rPr>
      </w:r>
    </w:p>
    <w:p w14:paraId="4CFEC576" w14:textId="4F711042">
      <w:pPr>
        <w:pStyle w:val="1145"/>
        <w:numPr>
          <w:ilvl w:val="0"/>
          <w:numId w:val="12"/>
        </w:numPr>
        <w:pBdr/>
        <w:spacing w:line="276" w:lineRule="auto"/>
        <w:ind/>
        <w:rPr>
          <w:rFonts w:cstheme="minorHAnsi"/>
        </w:rPr>
      </w:pPr>
      <w:r>
        <w:rPr>
          <w:rFonts w:cstheme="minorHAnsi"/>
        </w:rPr>
        <w:t xml:space="preserve">Review</w:t>
      </w:r>
      <w:r>
        <w:rPr>
          <w:rFonts w:cstheme="minorHAnsi"/>
        </w:rPr>
        <w:t xml:space="preserve">ed</w:t>
      </w:r>
      <w:r>
        <w:rPr>
          <w:rFonts w:cstheme="minorHAnsi"/>
        </w:rPr>
        <w:t xml:space="preserve"> the facility’s presence in the community (i.e.</w:t>
      </w:r>
      <w:r>
        <w:rPr>
          <w:rFonts w:cstheme="minorHAnsi"/>
        </w:rPr>
        <w:t xml:space="preserve">,</w:t>
      </w:r>
      <w:r>
        <w:rPr>
          <w:rFonts w:cstheme="minorHAnsi"/>
        </w:rPr>
        <w:t xml:space="preserve"> activities already being done to address community need)</w:t>
      </w:r>
      <w:r>
        <w:rPr>
          <w:rFonts w:cstheme="minorHAnsi"/>
        </w:rPr>
      </w:r>
    </w:p>
    <w:p w14:paraId="64EA22FF" w14:textId="77777777">
      <w:pPr>
        <w:pStyle w:val="1145"/>
        <w:numPr>
          <w:ilvl w:val="0"/>
          <w:numId w:val="12"/>
        </w:numPr>
        <w:pBdr/>
        <w:spacing w:line="276" w:lineRule="auto"/>
        <w:ind/>
        <w:rPr>
          <w:rFonts w:cstheme="minorHAnsi"/>
        </w:rPr>
      </w:pPr>
      <w:r>
        <w:rPr>
          <w:rFonts w:cstheme="minorHAnsi"/>
        </w:rPr>
        <w:t xml:space="preserve">Consider</w:t>
      </w:r>
      <w:r>
        <w:rPr>
          <w:rFonts w:cstheme="minorHAnsi"/>
        </w:rPr>
        <w:t xml:space="preserve">ed</w:t>
      </w:r>
      <w:r>
        <w:rPr>
          <w:rFonts w:cstheme="minorHAnsi"/>
        </w:rPr>
        <w:t xml:space="preserve"> organizations outside of the facility which may serve as collaborators in executing the facility’s implementation plan</w:t>
      </w:r>
      <w:r>
        <w:rPr>
          <w:rFonts w:cstheme="minorHAnsi"/>
        </w:rPr>
      </w:r>
    </w:p>
    <w:p w14:paraId="054D7665" w14:textId="77777777">
      <w:pPr>
        <w:pStyle w:val="1145"/>
        <w:numPr>
          <w:ilvl w:val="0"/>
          <w:numId w:val="12"/>
        </w:numPr>
        <w:pBdr/>
        <w:spacing w:line="276" w:lineRule="auto"/>
        <w:ind/>
        <w:rPr>
          <w:rFonts w:cstheme="minorHAnsi"/>
        </w:rPr>
      </w:pPr>
      <w:r>
        <w:rPr>
          <w:rFonts w:cstheme="minorHAnsi"/>
        </w:rPr>
        <w:t xml:space="preserve">Assess</w:t>
      </w:r>
      <w:r>
        <w:rPr>
          <w:rFonts w:cstheme="minorHAnsi"/>
        </w:rPr>
        <w:t xml:space="preserve">ed</w:t>
      </w:r>
      <w:r>
        <w:rPr>
          <w:rFonts w:cstheme="minorHAnsi"/>
        </w:rPr>
        <w:t xml:space="preserve"> the health indicators of the community through available secondary data</w:t>
      </w:r>
      <w:r>
        <w:rPr>
          <w:rFonts w:cstheme="minorHAnsi"/>
        </w:rPr>
      </w:r>
    </w:p>
    <w:p w14:paraId="77FAFD46" w14:textId="606B5CBF">
      <w:pPr>
        <w:pStyle w:val="1145"/>
        <w:numPr>
          <w:ilvl w:val="0"/>
          <w:numId w:val="12"/>
        </w:numPr>
        <w:pBdr/>
        <w:spacing w:line="276" w:lineRule="auto"/>
        <w:ind/>
        <w:rPr>
          <w:rFonts w:cstheme="minorHAnsi"/>
        </w:rPr>
      </w:pPr>
      <w:r>
        <w:rPr>
          <w:rFonts w:cstheme="minorHAnsi"/>
        </w:rPr>
        <w:t xml:space="preserve">Evaluate</w:t>
      </w:r>
      <w:r>
        <w:rPr>
          <w:rFonts w:cstheme="minorHAnsi"/>
        </w:rPr>
        <w:t xml:space="preserve">d</w:t>
      </w:r>
      <w:r>
        <w:rPr>
          <w:rFonts w:cstheme="minorHAnsi"/>
        </w:rPr>
        <w:t xml:space="preserve"> the feedback received from consultations with those representing the community’s interests, including public health</w:t>
      </w:r>
      <w:r>
        <w:rPr>
          <w:rFonts w:cstheme="minorHAnsi"/>
        </w:rPr>
      </w:r>
    </w:p>
    <w:p w14:paraId="4C25BCF1" w14:textId="77777777">
      <w:pPr>
        <w:pBdr/>
        <w:spacing/>
        <w:ind/>
        <w:rPr>
          <w:rFonts w:cstheme="minorHAnsi"/>
        </w:rPr>
      </w:pPr>
      <w:r>
        <w:rPr>
          <w:rFonts w:cstheme="minorHAnsi"/>
        </w:rPr>
      </w:r>
      <w:r>
        <w:rPr>
          <w:rFonts w:cstheme="minorHAnsi"/>
        </w:rPr>
      </w:r>
    </w:p>
    <w:p w14:paraId="3988CBA9" w14:textId="07E78348">
      <w:pPr>
        <w:pStyle w:val="1130"/>
        <w:numPr>
          <w:ilvl w:val="0"/>
          <w:numId w:val="13"/>
        </w:numPr>
        <w:pBdr/>
        <w:spacing/>
        <w:ind/>
        <w:rPr>
          <w:rFonts w:asciiTheme="minorHAnsi" w:hAnsiTheme="minorHAnsi" w:cstheme="minorHAnsi"/>
        </w:rPr>
      </w:pPr>
      <w:r/>
      <w:bookmarkStart w:id="2" w:name="_Toc227308981"/>
      <w:r>
        <w:rPr>
          <w:rFonts w:asciiTheme="minorHAnsi" w:hAnsiTheme="minorHAnsi" w:cstheme="minorHAnsi"/>
        </w:rPr>
        <w:t xml:space="preserve">NEMHS</w:t>
      </w:r>
      <w:r>
        <w:rPr>
          <w:rFonts w:asciiTheme="minorHAnsi" w:hAnsiTheme="minorHAnsi" w:cstheme="minorHAnsi"/>
        </w:rPr>
        <w:t xml:space="preserve">’s </w:t>
      </w:r>
      <w:r>
        <w:rPr>
          <w:rFonts w:asciiTheme="minorHAnsi" w:hAnsiTheme="minorHAnsi" w:cstheme="minorHAnsi"/>
        </w:rPr>
        <w:t xml:space="preserve">Existing </w:t>
      </w:r>
      <w:r>
        <w:rPr>
          <w:rFonts w:asciiTheme="minorHAnsi" w:hAnsiTheme="minorHAnsi" w:cstheme="minorHAnsi"/>
        </w:rPr>
        <w:t xml:space="preserve">Presence in the Community</w:t>
      </w:r>
      <w:bookmarkEnd w:id="2"/>
      <w:r/>
      <w:r>
        <w:rPr>
          <w:rFonts w:asciiTheme="minorHAnsi" w:hAnsiTheme="minorHAnsi" w:cstheme="minorHAnsi"/>
        </w:rPr>
      </w:r>
    </w:p>
    <w:p w14:paraId="2493AC81" w14:textId="77777777">
      <w:pPr>
        <w:pStyle w:val="1145"/>
        <w:numPr>
          <w:ilvl w:val="0"/>
          <w:numId w:val="6"/>
        </w:numPr>
        <w:pBdr/>
        <w:spacing w:line="276" w:lineRule="auto"/>
        <w:ind/>
        <w:rPr>
          <w:rFonts w:cs="Times New Roman"/>
          <w:szCs w:val="24"/>
        </w:rPr>
      </w:pPr>
      <w:r>
        <w:rPr>
          <w:rFonts w:cs="Times New Roman"/>
          <w:szCs w:val="24"/>
        </w:rPr>
        <w:t xml:space="preserve">NEMHS sponsored a 1 and 5 K run or walk Color Run.  </w:t>
      </w:r>
      <w:r>
        <w:rPr>
          <w:rFonts w:cs="Times New Roman"/>
          <w:szCs w:val="24"/>
        </w:rPr>
      </w:r>
    </w:p>
    <w:p w14:paraId="504D9F8A" w14:textId="77777777">
      <w:pPr>
        <w:pStyle w:val="1145"/>
        <w:numPr>
          <w:ilvl w:val="0"/>
          <w:numId w:val="6"/>
        </w:numPr>
        <w:pBdr/>
        <w:spacing w:line="276" w:lineRule="auto"/>
        <w:ind/>
        <w:rPr>
          <w:rFonts w:cs="Times New Roman"/>
          <w:szCs w:val="24"/>
        </w:rPr>
      </w:pPr>
      <w:r>
        <w:rPr>
          <w:rFonts w:cs="Times New Roman"/>
          <w:szCs w:val="24"/>
        </w:rPr>
        <w:t xml:space="preserve">NEMHS provides CNA classes to community. </w:t>
      </w:r>
      <w:r>
        <w:rPr>
          <w:rFonts w:cs="Times New Roman"/>
          <w:szCs w:val="24"/>
        </w:rPr>
      </w:r>
    </w:p>
    <w:p w14:paraId="4CEE4055" w14:textId="77777777">
      <w:pPr>
        <w:pStyle w:val="1145"/>
        <w:numPr>
          <w:ilvl w:val="0"/>
          <w:numId w:val="6"/>
        </w:numPr>
        <w:pBdr/>
        <w:spacing w:line="276" w:lineRule="auto"/>
        <w:ind/>
        <w:rPr>
          <w:rFonts w:cs="Times New Roman"/>
          <w:szCs w:val="24"/>
        </w:rPr>
      </w:pPr>
      <w:r>
        <w:rPr>
          <w:rFonts w:cs="Times New Roman"/>
          <w:szCs w:val="24"/>
        </w:rPr>
        <w:t xml:space="preserve">NEMHS hosts a REACH program for high school students interested in exploring health careers. </w:t>
      </w:r>
      <w:r>
        <w:rPr>
          <w:rFonts w:cs="Times New Roman"/>
          <w:szCs w:val="24"/>
        </w:rPr>
      </w:r>
    </w:p>
    <w:p w14:paraId="6B26D67E" w14:textId="77777777">
      <w:pPr>
        <w:pStyle w:val="1145"/>
        <w:numPr>
          <w:ilvl w:val="0"/>
          <w:numId w:val="6"/>
        </w:numPr>
        <w:pBdr/>
        <w:spacing w:line="276" w:lineRule="auto"/>
        <w:ind/>
        <w:rPr>
          <w:rFonts w:cs="Times New Roman"/>
          <w:szCs w:val="24"/>
        </w:rPr>
      </w:pPr>
      <w:r>
        <w:rPr>
          <w:rFonts w:cs="Times New Roman"/>
          <w:szCs w:val="24"/>
        </w:rPr>
        <w:t xml:space="preserve">NEMHS with emergency service organizations provides EMS support for local sporting events </w:t>
      </w:r>
      <w:r>
        <w:rPr>
          <w:rFonts w:cs="Times New Roman"/>
          <w:szCs w:val="24"/>
        </w:rPr>
      </w:r>
    </w:p>
    <w:p w14:paraId="4BFF82E7" w14:textId="77777777">
      <w:pPr>
        <w:pStyle w:val="1145"/>
        <w:numPr>
          <w:ilvl w:val="0"/>
          <w:numId w:val="6"/>
        </w:numPr>
        <w:pBdr/>
        <w:spacing w:line="276" w:lineRule="auto"/>
        <w:ind/>
        <w:rPr>
          <w:rFonts w:cs="Times New Roman"/>
          <w:szCs w:val="24"/>
        </w:rPr>
      </w:pPr>
      <w:r>
        <w:rPr>
          <w:rFonts w:cs="Times New Roman"/>
          <w:szCs w:val="24"/>
        </w:rPr>
        <w:t xml:space="preserve">NEMHS EMS sponsored an EMS Bash as a fundraiser to offset ambulance replacement costs. </w:t>
      </w:r>
      <w:r>
        <w:rPr>
          <w:rFonts w:cs="Times New Roman"/>
          <w:szCs w:val="24"/>
        </w:rPr>
      </w:r>
    </w:p>
    <w:p w14:paraId="244DBDBF" w14:textId="77777777">
      <w:pPr>
        <w:pStyle w:val="1145"/>
        <w:numPr>
          <w:ilvl w:val="0"/>
          <w:numId w:val="6"/>
        </w:numPr>
        <w:pBdr/>
        <w:spacing w:line="276" w:lineRule="auto"/>
        <w:ind/>
        <w:rPr>
          <w:rFonts w:cs="Times New Roman"/>
          <w:szCs w:val="24"/>
        </w:rPr>
      </w:pPr>
      <w:r>
        <w:rPr>
          <w:rFonts w:cs="Times New Roman"/>
          <w:szCs w:val="24"/>
        </w:rPr>
        <w:t xml:space="preserve">NEMHS EMS sponsored a Halloween safety event. </w:t>
      </w:r>
      <w:r>
        <w:rPr>
          <w:rFonts w:cs="Times New Roman"/>
          <w:szCs w:val="24"/>
        </w:rPr>
      </w:r>
    </w:p>
    <w:p w14:paraId="55751C75" w14:textId="77777777">
      <w:pPr>
        <w:pStyle w:val="1145"/>
        <w:numPr>
          <w:ilvl w:val="0"/>
          <w:numId w:val="6"/>
        </w:numPr>
        <w:pBdr/>
        <w:spacing w:line="276" w:lineRule="auto"/>
        <w:ind/>
        <w:rPr>
          <w:rFonts w:cs="Times New Roman"/>
          <w:szCs w:val="24"/>
        </w:rPr>
      </w:pPr>
      <w:r>
        <w:rPr>
          <w:rFonts w:cs="Times New Roman"/>
          <w:szCs w:val="24"/>
        </w:rPr>
        <w:t xml:space="preserve">NEMHS provides CPR to Law Enforcement and Emergency Response personnel. </w:t>
      </w:r>
      <w:r>
        <w:rPr>
          <w:rFonts w:cs="Times New Roman"/>
          <w:szCs w:val="24"/>
        </w:rPr>
      </w:r>
    </w:p>
    <w:p w14:paraId="08D186B4" w14:textId="77777777">
      <w:pPr>
        <w:pStyle w:val="1145"/>
        <w:numPr>
          <w:ilvl w:val="0"/>
          <w:numId w:val="6"/>
        </w:numPr>
        <w:pBdr/>
        <w:spacing w:line="276" w:lineRule="auto"/>
        <w:ind/>
        <w:rPr>
          <w:rFonts w:cs="Times New Roman"/>
          <w:szCs w:val="24"/>
        </w:rPr>
      </w:pPr>
      <w:r>
        <w:rPr>
          <w:rFonts w:cs="Times New Roman"/>
          <w:szCs w:val="24"/>
        </w:rPr>
        <w:t xml:space="preserve">NEMHS sponsors a “Tough Enough to Wear Pink” campaign at the Wolf Point Stampede each year to raise Breast Cancer awareness.   </w:t>
      </w:r>
      <w:r>
        <w:rPr>
          <w:rFonts w:cs="Times New Roman"/>
          <w:szCs w:val="24"/>
        </w:rPr>
      </w:r>
    </w:p>
    <w:p w14:paraId="692964D4" w14:textId="77777777">
      <w:pPr>
        <w:pStyle w:val="1145"/>
        <w:numPr>
          <w:ilvl w:val="0"/>
          <w:numId w:val="6"/>
        </w:numPr>
        <w:pBdr/>
        <w:spacing w:line="276" w:lineRule="auto"/>
        <w:ind/>
        <w:rPr>
          <w:rFonts w:cs="Times New Roman"/>
          <w:szCs w:val="24"/>
        </w:rPr>
      </w:pPr>
      <w:r>
        <w:rPr>
          <w:rFonts w:cs="Times New Roman"/>
          <w:szCs w:val="24"/>
        </w:rPr>
        <w:t xml:space="preserve">NEMHS provides medical nursing services on site to Roosevelt County Correctional Facility.  </w:t>
      </w:r>
      <w:r>
        <w:rPr>
          <w:rFonts w:cs="Times New Roman"/>
          <w:szCs w:val="24"/>
        </w:rPr>
      </w:r>
    </w:p>
    <w:p w14:paraId="740E171E" w14:textId="77777777">
      <w:pPr>
        <w:pStyle w:val="1145"/>
        <w:numPr>
          <w:ilvl w:val="0"/>
          <w:numId w:val="6"/>
        </w:numPr>
        <w:pBdr/>
        <w:spacing w:line="276" w:lineRule="auto"/>
        <w:ind/>
        <w:rPr>
          <w:rFonts w:cs="Times New Roman"/>
          <w:szCs w:val="24"/>
        </w:rPr>
      </w:pPr>
      <w:r>
        <w:rPr>
          <w:rFonts w:cs="Times New Roman"/>
          <w:szCs w:val="24"/>
        </w:rPr>
        <w:t xml:space="preserve">NEMHS Community “Consequences” (impaired driving/distracted awareness in association with the Wolf Point School District. </w:t>
      </w:r>
      <w:r>
        <w:rPr>
          <w:rFonts w:cs="Times New Roman"/>
          <w:szCs w:val="24"/>
        </w:rPr>
      </w:r>
    </w:p>
    <w:p w14:paraId="5B99CEA3" w14:textId="77777777">
      <w:pPr>
        <w:pStyle w:val="1145"/>
        <w:numPr>
          <w:ilvl w:val="0"/>
          <w:numId w:val="6"/>
        </w:numPr>
        <w:pBdr/>
        <w:spacing w:line="276" w:lineRule="auto"/>
        <w:ind/>
        <w:rPr>
          <w:rFonts w:cs="Times New Roman"/>
          <w:szCs w:val="24"/>
        </w:rPr>
      </w:pPr>
      <w:r>
        <w:rPr>
          <w:rFonts w:cs="Times New Roman"/>
          <w:szCs w:val="24"/>
        </w:rPr>
        <w:t xml:space="preserve">EMS placed a “Distracted Awareness” (texting) bill board as a part of NEMHS’s Trauma Awareness.  </w:t>
      </w:r>
      <w:r>
        <w:rPr>
          <w:rFonts w:cs="Times New Roman"/>
          <w:szCs w:val="24"/>
        </w:rPr>
      </w:r>
    </w:p>
    <w:p w14:paraId="36991CE8" w14:textId="77777777">
      <w:pPr>
        <w:pStyle w:val="1145"/>
        <w:numPr>
          <w:ilvl w:val="0"/>
          <w:numId w:val="6"/>
        </w:numPr>
        <w:pBdr/>
        <w:spacing w:line="276" w:lineRule="auto"/>
        <w:ind/>
        <w:rPr>
          <w:rFonts w:cs="Times New Roman"/>
          <w:szCs w:val="24"/>
        </w:rPr>
      </w:pPr>
      <w:r>
        <w:rPr>
          <w:rFonts w:cs="Times New Roman"/>
          <w:szCs w:val="24"/>
        </w:rPr>
        <w:t xml:space="preserve">NEMHS provides volunteer support to local events such as BB tournaments, Wild West Days, and Wolf Point Stampede  </w:t>
      </w:r>
      <w:r>
        <w:rPr>
          <w:rFonts w:cs="Times New Roman"/>
          <w:szCs w:val="24"/>
        </w:rPr>
      </w:r>
    </w:p>
    <w:p w14:paraId="2AF6B405" w14:textId="77777777">
      <w:pPr>
        <w:pStyle w:val="1145"/>
        <w:numPr>
          <w:ilvl w:val="0"/>
          <w:numId w:val="6"/>
        </w:numPr>
        <w:pBdr/>
        <w:spacing w:line="276" w:lineRule="auto"/>
        <w:ind/>
        <w:rPr>
          <w:rFonts w:cs="Times New Roman"/>
          <w:szCs w:val="24"/>
        </w:rPr>
      </w:pPr>
      <w:r>
        <w:rPr>
          <w:rFonts w:cs="Times New Roman"/>
          <w:szCs w:val="24"/>
        </w:rPr>
        <w:t xml:space="preserve">Mentoring site for clinical rotations for FNP’s. MT’s, RT’s, PA-C’s, WAMII medical students and CNM’s.</w:t>
      </w:r>
      <w:r>
        <w:rPr>
          <w:rFonts w:cs="Times New Roman"/>
          <w:szCs w:val="24"/>
        </w:rPr>
      </w:r>
    </w:p>
    <w:p w14:paraId="5B824765" w14:textId="57A40DAA">
      <w:pPr>
        <w:pBdr/>
        <w:spacing w:after="200" w:line="276" w:lineRule="auto"/>
        <w:ind/>
        <w:rPr/>
      </w:pPr>
      <w:r/>
      <w:r/>
    </w:p>
    <w:p w14:paraId="7B69203A" w14:textId="22CC3C2C">
      <w:pPr>
        <w:pStyle w:val="1130"/>
        <w:numPr>
          <w:ilvl w:val="0"/>
          <w:numId w:val="13"/>
        </w:numPr>
        <w:pBdr/>
        <w:spacing/>
        <w:ind/>
        <w:rPr>
          <w:rFonts w:asciiTheme="minorHAnsi" w:hAnsiTheme="minorHAnsi" w:cstheme="minorHAnsi"/>
        </w:rPr>
      </w:pPr>
      <w:r/>
      <w:bookmarkStart w:id="3" w:name="_Toc227308982"/>
      <w:r>
        <w:rPr>
          <w:rFonts w:asciiTheme="minorHAnsi" w:hAnsiTheme="minorHAnsi" w:cstheme="minorHAnsi"/>
        </w:rPr>
        <w:t xml:space="preserve">List of Available Community </w:t>
      </w:r>
      <w:r>
        <w:rPr>
          <w:rFonts w:asciiTheme="minorHAnsi" w:hAnsiTheme="minorHAnsi" w:cstheme="minorHAnsi"/>
        </w:rPr>
        <w:t xml:space="preserve">Partnerships </w:t>
      </w:r>
      <w:r>
        <w:rPr>
          <w:rFonts w:asciiTheme="minorHAnsi" w:hAnsiTheme="minorHAnsi" w:cstheme="minorHAnsi"/>
        </w:rPr>
        <w:t xml:space="preserve">and Facility Resources to Address Needs</w:t>
      </w:r>
      <w:bookmarkEnd w:id="3"/>
      <w:r/>
      <w:r>
        <w:rPr>
          <w:rFonts w:asciiTheme="minorHAnsi" w:hAnsiTheme="minorHAnsi" w:cstheme="minorHAnsi"/>
        </w:rPr>
      </w:r>
    </w:p>
    <w:p w14:paraId="69F80778" w14:textId="5D9CBC6F">
      <w:pPr>
        <w:pBdr/>
        <w:spacing/>
        <w:ind/>
        <w:rPr>
          <w:rFonts w:cstheme="minorHAnsi"/>
          <w:szCs w:val="24"/>
        </w:rPr>
        <w:sectPr>
          <w:headerReference w:type="default" r:id="rId12"/>
          <w:headerReference w:type="even" r:id="rId13"/>
          <w:headerReference w:type="first" r:id="rId14"/>
          <w:footerReference w:type="default" r:id="rId18"/>
          <w:footerReference w:type="first" r:id="rId19"/>
          <w:footnotePr/>
          <w:endnotePr/>
          <w:type w:val="continuous"/>
          <w:pgSz w:h="12240" w:orient="landscape" w:w="15840"/>
          <w:pgMar w:top="1440" w:right="1440" w:bottom="1170" w:left="1440" w:header="576" w:footer="465" w:gutter="0"/>
          <w:pgBorders w:display="allPages" w:offsetFrom="page" w:zOrder="front">
            <w:bottom w:color="auto" w:space="24" w:sz="18" w:val="single"/>
            <w:left w:color="auto" w:space="24" w:sz="18" w:val="single"/>
            <w:right w:color="auto" w:space="24" w:sz="18" w:val="single"/>
            <w:top w:color="auto" w:space="24" w:sz="18" w:val="single"/>
          </w:pgBorders>
          <w:cols w:num="1" w:sep="0" w:space="720" w:equalWidth="1"/>
          <w:titlePg/>
        </w:sectPr>
      </w:pPr>
      <w:r>
        <w:rPr>
          <w:rFonts w:cstheme="minorHAnsi"/>
          <w:szCs w:val="24"/>
        </w:rPr>
      </w:r>
      <w:r>
        <w:rPr>
          <w:rFonts w:cstheme="minorHAnsi"/>
          <w:szCs w:val="24"/>
        </w:rPr>
      </w:r>
    </w:p>
    <w:p w14:paraId="7082D1D5" w14:textId="77777777">
      <w:pPr>
        <w:pStyle w:val="1145"/>
        <w:numPr>
          <w:ilvl w:val="0"/>
          <w:numId w:val="9"/>
        </w:numPr>
        <w:pBdr/>
        <w:spacing/>
        <w:ind/>
        <w:rPr>
          <w:rFonts w:cstheme="minorHAnsi"/>
          <w:szCs w:val="24"/>
        </w:rPr>
      </w:pPr>
      <w:r>
        <w:rPr>
          <w:rFonts w:cstheme="minorHAnsi"/>
          <w:szCs w:val="24"/>
        </w:rPr>
        <w:t xml:space="preserve">Billings Clinic </w:t>
      </w:r>
      <w:r>
        <w:rPr>
          <w:rFonts w:cstheme="minorHAnsi"/>
          <w:szCs w:val="24"/>
        </w:rPr>
      </w:r>
    </w:p>
    <w:p w14:paraId="65B8BA3C" w14:textId="77777777">
      <w:pPr>
        <w:pStyle w:val="1145"/>
        <w:numPr>
          <w:ilvl w:val="0"/>
          <w:numId w:val="9"/>
        </w:numPr>
        <w:pBdr/>
        <w:spacing/>
        <w:ind/>
        <w:rPr>
          <w:rFonts w:cstheme="minorHAnsi"/>
          <w:szCs w:val="24"/>
        </w:rPr>
      </w:pPr>
      <w:r>
        <w:rPr>
          <w:rFonts w:cstheme="minorHAnsi"/>
          <w:szCs w:val="24"/>
        </w:rPr>
        <w:t xml:space="preserve">Indian Health Services (IHS) </w:t>
      </w:r>
      <w:r>
        <w:rPr>
          <w:rFonts w:cstheme="minorHAnsi"/>
          <w:szCs w:val="24"/>
        </w:rPr>
      </w:r>
    </w:p>
    <w:p w14:paraId="7ACD722D" w14:textId="77777777">
      <w:pPr>
        <w:pStyle w:val="1145"/>
        <w:numPr>
          <w:ilvl w:val="0"/>
          <w:numId w:val="9"/>
        </w:numPr>
        <w:pBdr/>
        <w:spacing/>
        <w:ind/>
        <w:rPr>
          <w:rFonts w:cstheme="minorHAnsi"/>
          <w:szCs w:val="24"/>
        </w:rPr>
      </w:pPr>
      <w:r>
        <w:rPr>
          <w:rFonts w:cstheme="minorHAnsi"/>
          <w:szCs w:val="24"/>
        </w:rPr>
        <w:t xml:space="preserve">Fort Peck Tribes Health Promotion / Disease Prevention Wellness Program (HP/DP) </w:t>
      </w:r>
      <w:r>
        <w:rPr>
          <w:rFonts w:cstheme="minorHAnsi"/>
          <w:szCs w:val="24"/>
        </w:rPr>
      </w:r>
    </w:p>
    <w:p w14:paraId="36A21525" w14:textId="77777777">
      <w:pPr>
        <w:pStyle w:val="1145"/>
        <w:numPr>
          <w:ilvl w:val="0"/>
          <w:numId w:val="9"/>
        </w:numPr>
        <w:pBdr/>
        <w:spacing/>
        <w:ind/>
        <w:rPr>
          <w:rFonts w:cstheme="minorHAnsi"/>
          <w:szCs w:val="24"/>
        </w:rPr>
      </w:pPr>
      <w:r>
        <w:rPr>
          <w:rFonts w:cstheme="minorHAnsi"/>
          <w:szCs w:val="24"/>
        </w:rPr>
        <w:t xml:space="preserve">Spotted Bull Outpatient Treatment Center </w:t>
      </w:r>
      <w:r>
        <w:rPr>
          <w:rFonts w:cstheme="minorHAnsi"/>
          <w:szCs w:val="24"/>
        </w:rPr>
      </w:r>
    </w:p>
    <w:p w14:paraId="0311FC65" w14:textId="77777777">
      <w:pPr>
        <w:pStyle w:val="1145"/>
        <w:numPr>
          <w:ilvl w:val="0"/>
          <w:numId w:val="9"/>
        </w:numPr>
        <w:pBdr/>
        <w:spacing/>
        <w:ind/>
        <w:rPr>
          <w:rFonts w:cstheme="minorHAnsi"/>
          <w:szCs w:val="24"/>
        </w:rPr>
      </w:pPr>
      <w:r>
        <w:rPr>
          <w:rFonts w:cstheme="minorHAnsi"/>
          <w:szCs w:val="24"/>
        </w:rPr>
        <w:t xml:space="preserve">Eastern Montana Area Health Education Center (AHEC) </w:t>
      </w:r>
      <w:r>
        <w:rPr>
          <w:rFonts w:cstheme="minorHAnsi"/>
          <w:szCs w:val="24"/>
        </w:rPr>
      </w:r>
    </w:p>
    <w:p w14:paraId="640C5AE6" w14:textId="77777777">
      <w:pPr>
        <w:pStyle w:val="1145"/>
        <w:numPr>
          <w:ilvl w:val="0"/>
          <w:numId w:val="9"/>
        </w:numPr>
        <w:pBdr/>
        <w:spacing/>
        <w:ind/>
        <w:rPr>
          <w:rFonts w:cstheme="minorHAnsi"/>
          <w:szCs w:val="24"/>
        </w:rPr>
      </w:pPr>
      <w:r>
        <w:rPr>
          <w:rFonts w:cstheme="minorHAnsi"/>
          <w:szCs w:val="24"/>
        </w:rPr>
        <w:t xml:space="preserve">Montana Connections/AHEC Recruitment program </w:t>
      </w:r>
      <w:r>
        <w:rPr>
          <w:rFonts w:cstheme="minorHAnsi"/>
          <w:szCs w:val="24"/>
        </w:rPr>
      </w:r>
    </w:p>
    <w:p w14:paraId="490809D7" w14:textId="77777777">
      <w:pPr>
        <w:pStyle w:val="1145"/>
        <w:numPr>
          <w:ilvl w:val="0"/>
          <w:numId w:val="9"/>
        </w:numPr>
        <w:pBdr/>
        <w:spacing/>
        <w:ind/>
        <w:rPr>
          <w:rFonts w:cstheme="minorHAnsi"/>
          <w:szCs w:val="24"/>
        </w:rPr>
      </w:pPr>
      <w:r>
        <w:rPr>
          <w:rFonts w:cstheme="minorHAnsi"/>
          <w:szCs w:val="24"/>
        </w:rPr>
        <w:t xml:space="preserve">WWAMI (Regional Medical School) </w:t>
      </w:r>
      <w:r>
        <w:rPr>
          <w:rFonts w:cstheme="minorHAnsi"/>
          <w:szCs w:val="24"/>
        </w:rPr>
      </w:r>
    </w:p>
    <w:p w14:paraId="546E573E" w14:textId="77777777">
      <w:pPr>
        <w:pStyle w:val="1145"/>
        <w:numPr>
          <w:ilvl w:val="0"/>
          <w:numId w:val="9"/>
        </w:numPr>
        <w:pBdr/>
        <w:spacing/>
        <w:ind/>
        <w:rPr>
          <w:rFonts w:cstheme="minorHAnsi"/>
          <w:szCs w:val="24"/>
        </w:rPr>
      </w:pPr>
      <w:r>
        <w:rPr>
          <w:rFonts w:cstheme="minorHAnsi"/>
          <w:szCs w:val="24"/>
        </w:rPr>
        <w:t xml:space="preserve">Wolf Point and Poplar School Districts </w:t>
      </w:r>
      <w:r>
        <w:rPr>
          <w:rFonts w:cstheme="minorHAnsi"/>
          <w:szCs w:val="24"/>
        </w:rPr>
      </w:r>
    </w:p>
    <w:p w14:paraId="2815D312" w14:textId="77777777">
      <w:pPr>
        <w:pStyle w:val="1145"/>
        <w:numPr>
          <w:ilvl w:val="0"/>
          <w:numId w:val="9"/>
        </w:numPr>
        <w:pBdr/>
        <w:spacing/>
        <w:ind/>
        <w:rPr>
          <w:rFonts w:cstheme="minorHAnsi"/>
          <w:szCs w:val="24"/>
        </w:rPr>
      </w:pPr>
      <w:r>
        <w:rPr>
          <w:rFonts w:cstheme="minorHAnsi"/>
          <w:szCs w:val="24"/>
        </w:rPr>
        <w:t xml:space="preserve">Montana Office of Rural Health </w:t>
      </w:r>
      <w:r>
        <w:rPr>
          <w:rFonts w:cstheme="minorHAnsi"/>
          <w:szCs w:val="24"/>
        </w:rPr>
      </w:r>
    </w:p>
    <w:p w14:paraId="684F2271" w14:textId="77777777">
      <w:pPr>
        <w:pStyle w:val="1145"/>
        <w:numPr>
          <w:ilvl w:val="0"/>
          <w:numId w:val="9"/>
        </w:numPr>
        <w:pBdr/>
        <w:spacing/>
        <w:ind/>
        <w:rPr>
          <w:rFonts w:cstheme="minorHAnsi"/>
          <w:szCs w:val="24"/>
        </w:rPr>
      </w:pPr>
      <w:r>
        <w:rPr>
          <w:rFonts w:cstheme="minorHAnsi"/>
          <w:szCs w:val="24"/>
        </w:rPr>
        <w:t xml:space="preserve">Eastern Montana Telemedicine Network (EMTN) </w:t>
      </w:r>
      <w:r>
        <w:rPr>
          <w:rFonts w:cstheme="minorHAnsi"/>
          <w:szCs w:val="24"/>
        </w:rPr>
      </w:r>
    </w:p>
    <w:p w14:paraId="3EE93F23" w14:textId="77777777">
      <w:pPr>
        <w:pStyle w:val="1145"/>
        <w:numPr>
          <w:ilvl w:val="0"/>
          <w:numId w:val="9"/>
        </w:numPr>
        <w:pBdr/>
        <w:spacing/>
        <w:ind/>
        <w:rPr>
          <w:rFonts w:cstheme="minorHAnsi"/>
          <w:szCs w:val="24"/>
        </w:rPr>
      </w:pPr>
      <w:r>
        <w:rPr>
          <w:rFonts w:cstheme="minorHAnsi"/>
          <w:szCs w:val="24"/>
        </w:rPr>
        <w:t xml:space="preserve">Eastern Montana Mental Health Services (EMMHS) </w:t>
      </w:r>
      <w:r>
        <w:rPr>
          <w:rFonts w:cstheme="minorHAnsi"/>
          <w:szCs w:val="24"/>
        </w:rPr>
      </w:r>
    </w:p>
    <w:p w14:paraId="152805BF" w14:textId="77777777">
      <w:pPr>
        <w:pStyle w:val="1145"/>
        <w:numPr>
          <w:ilvl w:val="0"/>
          <w:numId w:val="9"/>
        </w:numPr>
        <w:pBdr/>
        <w:spacing/>
        <w:ind/>
        <w:rPr>
          <w:rFonts w:cstheme="minorHAnsi"/>
          <w:szCs w:val="24"/>
        </w:rPr>
      </w:pPr>
      <w:r>
        <w:rPr>
          <w:rFonts w:cstheme="minorHAnsi"/>
          <w:szCs w:val="24"/>
        </w:rPr>
        <w:t xml:space="preserve">Montana Health Network (MHN)</w:t>
      </w:r>
      <w:r>
        <w:rPr>
          <w:rFonts w:cstheme="minorHAnsi"/>
          <w:szCs w:val="24"/>
        </w:rPr>
      </w:r>
    </w:p>
    <w:p w14:paraId="3B7136AC" w14:textId="77777777">
      <w:pPr>
        <w:pStyle w:val="1145"/>
        <w:numPr>
          <w:ilvl w:val="0"/>
          <w:numId w:val="9"/>
        </w:numPr>
        <w:pBdr/>
        <w:spacing/>
        <w:ind/>
        <w:rPr>
          <w:rFonts w:cstheme="minorHAnsi"/>
          <w:szCs w:val="24"/>
        </w:rPr>
      </w:pPr>
      <w:r>
        <w:rPr>
          <w:rFonts w:cstheme="minorHAnsi"/>
          <w:szCs w:val="24"/>
        </w:rPr>
        <w:t xml:space="preserve">Fort Peck Community College </w:t>
      </w:r>
      <w:r>
        <w:rPr>
          <w:rFonts w:cstheme="minorHAnsi"/>
          <w:szCs w:val="24"/>
        </w:rPr>
      </w:r>
    </w:p>
    <w:p w14:paraId="014B2680" w14:textId="77777777">
      <w:pPr>
        <w:pStyle w:val="1145"/>
        <w:numPr>
          <w:ilvl w:val="0"/>
          <w:numId w:val="9"/>
        </w:numPr>
        <w:pBdr/>
        <w:spacing/>
        <w:ind/>
        <w:rPr>
          <w:rFonts w:cstheme="minorHAnsi"/>
          <w:szCs w:val="24"/>
        </w:rPr>
      </w:pPr>
      <w:r>
        <w:rPr>
          <w:rFonts w:cstheme="minorHAnsi"/>
          <w:szCs w:val="24"/>
        </w:rPr>
        <w:t xml:space="preserve">3RNet </w:t>
      </w:r>
      <w:r>
        <w:rPr>
          <w:rFonts w:cstheme="minorHAnsi"/>
          <w:szCs w:val="24"/>
        </w:rPr>
      </w:r>
    </w:p>
    <w:p w14:paraId="3B10B0F3" w14:textId="77777777">
      <w:pPr>
        <w:pStyle w:val="1145"/>
        <w:numPr>
          <w:ilvl w:val="0"/>
          <w:numId w:val="9"/>
        </w:numPr>
        <w:pBdr/>
        <w:spacing/>
        <w:ind/>
        <w:rPr>
          <w:rFonts w:cstheme="minorHAnsi"/>
          <w:szCs w:val="24"/>
        </w:rPr>
      </w:pPr>
      <w:r>
        <w:rPr>
          <w:rFonts w:cstheme="minorHAnsi"/>
          <w:szCs w:val="24"/>
        </w:rPr>
        <w:t xml:space="preserve">University of Montana (UM) </w:t>
      </w:r>
      <w:r>
        <w:rPr>
          <w:rFonts w:cstheme="minorHAnsi"/>
          <w:szCs w:val="24"/>
        </w:rPr>
      </w:r>
    </w:p>
    <w:p w14:paraId="0A6139D1" w14:textId="77777777">
      <w:pPr>
        <w:pStyle w:val="1145"/>
        <w:numPr>
          <w:ilvl w:val="0"/>
          <w:numId w:val="9"/>
        </w:numPr>
        <w:pBdr/>
        <w:spacing/>
        <w:ind/>
        <w:rPr>
          <w:rFonts w:cstheme="minorHAnsi"/>
          <w:szCs w:val="24"/>
        </w:rPr>
      </w:pPr>
      <w:r>
        <w:rPr>
          <w:rFonts w:cstheme="minorHAnsi"/>
          <w:szCs w:val="24"/>
        </w:rPr>
        <w:t xml:space="preserve">Montana State University (MSU) and MSU B </w:t>
      </w:r>
      <w:r>
        <w:rPr>
          <w:rFonts w:cstheme="minorHAnsi"/>
          <w:szCs w:val="24"/>
        </w:rPr>
      </w:r>
    </w:p>
    <w:p w14:paraId="4EF3B634" w14:textId="77777777">
      <w:pPr>
        <w:pStyle w:val="1145"/>
        <w:numPr>
          <w:ilvl w:val="0"/>
          <w:numId w:val="9"/>
        </w:numPr>
        <w:pBdr/>
        <w:spacing/>
        <w:ind/>
        <w:rPr>
          <w:rFonts w:cstheme="minorHAnsi"/>
          <w:szCs w:val="24"/>
        </w:rPr>
      </w:pPr>
      <w:r>
        <w:rPr>
          <w:rFonts w:cstheme="minorHAnsi"/>
          <w:szCs w:val="24"/>
        </w:rPr>
        <w:t xml:space="preserve">Miles City Community College  </w:t>
      </w:r>
      <w:r>
        <w:rPr>
          <w:rFonts w:cstheme="minorHAnsi"/>
          <w:szCs w:val="24"/>
        </w:rPr>
      </w:r>
    </w:p>
    <w:p w14:paraId="76A1DA54" w14:textId="77777777">
      <w:pPr>
        <w:pStyle w:val="1145"/>
        <w:numPr>
          <w:ilvl w:val="0"/>
          <w:numId w:val="9"/>
        </w:numPr>
        <w:pBdr/>
        <w:spacing/>
        <w:ind/>
        <w:rPr>
          <w:rFonts w:cstheme="minorHAnsi"/>
          <w:szCs w:val="24"/>
        </w:rPr>
      </w:pPr>
      <w:r>
        <w:rPr>
          <w:rFonts w:cstheme="minorHAnsi"/>
          <w:szCs w:val="24"/>
        </w:rPr>
        <w:t xml:space="preserve">Montana Hospital Association (MHA) </w:t>
      </w:r>
      <w:r>
        <w:rPr>
          <w:rFonts w:cstheme="minorHAnsi"/>
          <w:szCs w:val="24"/>
        </w:rPr>
      </w:r>
    </w:p>
    <w:p w14:paraId="3A41C8DE" w14:textId="77777777">
      <w:pPr>
        <w:pStyle w:val="1145"/>
        <w:numPr>
          <w:ilvl w:val="0"/>
          <w:numId w:val="9"/>
        </w:numPr>
        <w:pBdr/>
        <w:spacing/>
        <w:ind/>
        <w:rPr>
          <w:rFonts w:cstheme="minorHAnsi"/>
          <w:szCs w:val="24"/>
        </w:rPr>
      </w:pPr>
      <w:r>
        <w:rPr>
          <w:rFonts w:cstheme="minorHAnsi"/>
          <w:szCs w:val="24"/>
        </w:rPr>
        <w:t xml:space="preserve">HealtheLife</w:t>
      </w:r>
      <w:r>
        <w:rPr>
          <w:rFonts w:cstheme="minorHAnsi"/>
          <w:szCs w:val="24"/>
        </w:rPr>
        <w:t xml:space="preserve"> App- Electronic health portal </w:t>
      </w:r>
      <w:r>
        <w:rPr>
          <w:rFonts w:cstheme="minorHAnsi"/>
          <w:szCs w:val="24"/>
        </w:rPr>
      </w:r>
    </w:p>
    <w:p w14:paraId="08C3CC56" w14:textId="77777777">
      <w:pPr>
        <w:pStyle w:val="1145"/>
        <w:numPr>
          <w:ilvl w:val="0"/>
          <w:numId w:val="9"/>
        </w:numPr>
        <w:pBdr/>
        <w:spacing/>
        <w:ind/>
        <w:rPr>
          <w:rFonts w:cstheme="minorHAnsi"/>
          <w:szCs w:val="24"/>
        </w:rPr>
      </w:pPr>
      <w:r>
        <w:rPr>
          <w:rFonts w:cstheme="minorHAnsi"/>
          <w:szCs w:val="24"/>
        </w:rPr>
        <w:t xml:space="preserve">Montana Department of Health and Human Services (DPHHS) </w:t>
      </w:r>
      <w:r>
        <w:rPr>
          <w:rFonts w:cstheme="minorHAnsi"/>
          <w:szCs w:val="24"/>
        </w:rPr>
      </w:r>
    </w:p>
    <w:p w14:paraId="5A82B0FE" w14:textId="77777777">
      <w:pPr>
        <w:pStyle w:val="1145"/>
        <w:numPr>
          <w:ilvl w:val="0"/>
          <w:numId w:val="9"/>
        </w:numPr>
        <w:pBdr/>
        <w:spacing/>
        <w:ind/>
        <w:rPr>
          <w:rFonts w:cstheme="minorHAnsi"/>
          <w:szCs w:val="24"/>
        </w:rPr>
      </w:pPr>
      <w:r>
        <w:rPr>
          <w:rFonts w:cstheme="minorHAnsi"/>
          <w:szCs w:val="24"/>
        </w:rPr>
        <w:t xml:space="preserve">Roosevelt County Health Department </w:t>
      </w:r>
      <w:r>
        <w:rPr>
          <w:rFonts w:cstheme="minorHAnsi"/>
          <w:szCs w:val="24"/>
        </w:rPr>
      </w:r>
    </w:p>
    <w:p w14:paraId="62CCF17D" w14:textId="77777777">
      <w:pPr>
        <w:pStyle w:val="1145"/>
        <w:numPr>
          <w:ilvl w:val="0"/>
          <w:numId w:val="9"/>
        </w:numPr>
        <w:pBdr/>
        <w:spacing/>
        <w:ind/>
        <w:rPr>
          <w:rFonts w:cstheme="minorHAnsi"/>
          <w:szCs w:val="24"/>
        </w:rPr>
      </w:pPr>
      <w:r>
        <w:rPr>
          <w:rFonts w:cstheme="minorHAnsi"/>
          <w:szCs w:val="24"/>
        </w:rPr>
        <w:t xml:space="preserve">Local Emergency Preparedness Coalition</w:t>
      </w:r>
      <w:r>
        <w:rPr>
          <w:rFonts w:cstheme="minorHAnsi"/>
          <w:szCs w:val="24"/>
        </w:rPr>
      </w:r>
    </w:p>
    <w:p w14:paraId="6948B4B9" w14:textId="77777777">
      <w:pPr>
        <w:pBdr/>
        <w:spacing/>
        <w:ind w:left="720"/>
        <w:rPr>
          <w:rFonts w:cs="Times New Roman"/>
          <w:b/>
          <w:szCs w:val="24"/>
          <w:u w:val="single"/>
        </w:rPr>
      </w:pPr>
      <w:r>
        <w:rPr>
          <w:rFonts w:cs="Times New Roman"/>
          <w:b/>
          <w:szCs w:val="24"/>
          <w:u w:val="single"/>
        </w:rPr>
      </w:r>
      <w:r>
        <w:rPr>
          <w:rFonts w:cs="Times New Roman"/>
          <w:b/>
          <w:szCs w:val="24"/>
          <w:u w:val="single"/>
        </w:rPr>
      </w:r>
    </w:p>
    <w:p w14:paraId="157AD59B" w14:textId="3314F7CE">
      <w:pPr>
        <w:numPr>
          <w:ilvl w:val="0"/>
          <w:numId w:val="9"/>
        </w:numPr>
        <w:pBdr/>
        <w:spacing/>
        <w:ind/>
        <w:rPr>
          <w:rFonts w:cs="Times New Roman"/>
          <w:b/>
          <w:szCs w:val="24"/>
          <w:u w:val="single"/>
        </w:rPr>
        <w:sectPr>
          <w:footnotePr/>
          <w:endnotePr/>
          <w:type w:val="continuous"/>
          <w:pgSz w:h="12240" w:orient="landscape" w:w="15840"/>
          <w:pgMar w:top="1440" w:right="1440" w:bottom="1170" w:left="1440" w:header="576" w:footer="465" w:gutter="0"/>
          <w:pgBorders w:display="allPages" w:offsetFrom="page" w:zOrder="front">
            <w:bottom w:color="auto" w:space="24" w:sz="18" w:val="single"/>
            <w:left w:color="auto" w:space="24" w:sz="18" w:val="single"/>
            <w:right w:color="auto" w:space="24" w:sz="18" w:val="single"/>
            <w:top w:color="auto" w:space="24" w:sz="18" w:val="single"/>
          </w:pgBorders>
          <w:cols w:num="1" w:sep="0" w:space="720" w:equalWidth="1"/>
          <w:titlePg/>
        </w:sectPr>
      </w:pPr>
      <w:r>
        <w:rPr>
          <w:rFonts w:cs="Times New Roman"/>
          <w:b/>
          <w:szCs w:val="24"/>
          <w:u w:val="single"/>
        </w:rPr>
      </w:r>
      <w:r>
        <w:rPr>
          <w:rFonts w:cs="Times New Roman"/>
          <w:b/>
          <w:szCs w:val="24"/>
          <w:u w:val="single"/>
        </w:rPr>
      </w:r>
    </w:p>
    <w:p w14:paraId="27F012C8" w14:textId="052B7139">
      <w:pPr>
        <w:pBdr/>
        <w:spacing/>
        <w:ind/>
        <w:rPr/>
      </w:pPr>
      <w:r/>
      <w:r/>
    </w:p>
    <w:p w14:paraId="462CD9F7" w14:textId="0324E42F">
      <w:pPr>
        <w:pBdr/>
        <w:spacing w:after="200" w:line="276" w:lineRule="auto"/>
        <w:ind/>
        <w:rPr/>
      </w:pPr>
      <w:r>
        <w:br w:type="page" w:clear="all"/>
      </w:r>
      <w:r/>
    </w:p>
    <w:p w14:paraId="13D92A73" w14:textId="3214F4BB">
      <w:pPr>
        <w:pStyle w:val="1130"/>
        <w:numPr>
          <w:ilvl w:val="0"/>
          <w:numId w:val="13"/>
        </w:numPr>
        <w:pBdr/>
        <w:spacing/>
        <w:ind/>
        <w:rPr>
          <w:rFonts w:asciiTheme="minorHAnsi" w:hAnsiTheme="minorHAnsi" w:cstheme="minorHAnsi"/>
        </w:rPr>
      </w:pPr>
      <w:r/>
      <w:bookmarkStart w:id="4" w:name="_Toc227308983"/>
      <w:r>
        <w:rPr>
          <w:rFonts w:asciiTheme="minorHAnsi" w:hAnsiTheme="minorHAnsi" w:cstheme="minorHAnsi"/>
        </w:rPr>
        <w:t xml:space="preserve">Roosevelt</w:t>
      </w:r>
      <w:r>
        <w:rPr>
          <w:rFonts w:asciiTheme="minorHAnsi" w:hAnsiTheme="minorHAnsi" w:cstheme="minorHAnsi"/>
        </w:rPr>
        <w:t xml:space="preserve"> County</w:t>
      </w:r>
      <w:r>
        <w:rPr>
          <w:rFonts w:asciiTheme="minorHAnsi" w:hAnsiTheme="minorHAnsi" w:cstheme="minorHAnsi"/>
        </w:rPr>
        <w:t xml:space="preserve"> Indicators</w:t>
      </w:r>
      <w:bookmarkEnd w:id="4"/>
      <w:r/>
      <w:r>
        <w:rPr>
          <w:rFonts w:asciiTheme="minorHAnsi" w:hAnsiTheme="minorHAnsi" w:cstheme="minorHAnsi"/>
        </w:rPr>
      </w:r>
    </w:p>
    <w:p w14:paraId="0D3E2A10" w14:textId="77777777">
      <w:pPr>
        <w:pBdr/>
        <w:spacing/>
        <w:ind/>
        <w:rPr>
          <w:rFonts w:cstheme="minorHAnsi"/>
          <w:sz w:val="18"/>
          <w:szCs w:val="18"/>
          <w:u w:val="single"/>
        </w:rPr>
      </w:pPr>
      <w:r>
        <w:rPr>
          <w:rFonts w:cstheme="minorHAnsi"/>
          <w:sz w:val="18"/>
          <w:szCs w:val="18"/>
          <w:u w:val="single"/>
        </w:rPr>
      </w:r>
      <w:r>
        <w:rPr>
          <w:rFonts w:cstheme="minorHAnsi"/>
          <w:sz w:val="18"/>
          <w:szCs w:val="18"/>
          <w:u w:val="single"/>
        </w:rPr>
      </w:r>
    </w:p>
    <w:p w14:paraId="036E1DA9" w14:textId="77777777">
      <w:pPr>
        <w:pBdr/>
        <w:spacing/>
        <w:ind/>
        <w:rPr>
          <w:rFonts w:cstheme="minorHAnsi"/>
          <w:szCs w:val="24"/>
          <w:u w:val="single"/>
        </w:rPr>
      </w:pPr>
      <w:r/>
      <w:bookmarkStart w:id="5" w:name="_Toc361989092"/>
      <w:r>
        <w:rPr>
          <w:rFonts w:cstheme="minorHAnsi"/>
          <w:szCs w:val="24"/>
          <w:u w:val="single"/>
        </w:rPr>
        <w:t xml:space="preserve">Population Demographics</w:t>
      </w:r>
      <w:r>
        <w:rPr>
          <w:rFonts w:cstheme="minorHAnsi"/>
          <w:szCs w:val="24"/>
          <w:u w:val="single"/>
        </w:rPr>
      </w:r>
    </w:p>
    <w:p w14:paraId="32748BAE" w14:textId="0F5EDED0">
      <w:pPr>
        <w:pStyle w:val="1145"/>
        <w:numPr>
          <w:ilvl w:val="0"/>
          <w:numId w:val="5"/>
        </w:numPr>
        <w:pBdr/>
        <w:spacing/>
        <w:ind/>
        <w:rPr>
          <w:rFonts w:cstheme="minorHAnsi"/>
          <w:szCs w:val="24"/>
        </w:rPr>
      </w:pPr>
      <w:r>
        <w:rPr>
          <w:rFonts w:cstheme="minorHAnsi"/>
          <w:szCs w:val="24"/>
        </w:rPr>
        <w:t xml:space="preserve">32% of Roosevelt County’s population white, and 56% is American Indian or Alaska Native</w:t>
      </w:r>
      <w:r>
        <w:rPr>
          <w:rFonts w:cstheme="minorHAnsi"/>
          <w:szCs w:val="24"/>
        </w:rPr>
      </w:r>
    </w:p>
    <w:p w14:paraId="3C1F4DED" w14:textId="4342988A">
      <w:pPr>
        <w:pStyle w:val="1145"/>
        <w:numPr>
          <w:ilvl w:val="0"/>
          <w:numId w:val="5"/>
        </w:numPr>
        <w:pBdr/>
        <w:spacing/>
        <w:ind/>
        <w:rPr>
          <w:rFonts w:cstheme="minorHAnsi"/>
          <w:szCs w:val="24"/>
        </w:rPr>
      </w:pPr>
      <w:r>
        <w:rPr>
          <w:rFonts w:cstheme="minorHAnsi"/>
          <w:szCs w:val="24"/>
        </w:rPr>
        <w:t xml:space="preserve">41.9% of Roosevelt County’s population has disability status</w:t>
      </w:r>
      <w:r>
        <w:rPr>
          <w:rFonts w:cstheme="minorHAnsi"/>
          <w:szCs w:val="24"/>
        </w:rPr>
      </w:r>
    </w:p>
    <w:p w14:paraId="17FD4661" w14:textId="3F6E96EE">
      <w:pPr>
        <w:pStyle w:val="1145"/>
        <w:numPr>
          <w:ilvl w:val="0"/>
          <w:numId w:val="5"/>
        </w:numPr>
        <w:pBdr/>
        <w:spacing/>
        <w:ind/>
        <w:rPr>
          <w:rFonts w:cstheme="minorHAnsi"/>
          <w:szCs w:val="24"/>
        </w:rPr>
      </w:pPr>
      <w:r>
        <w:rPr>
          <w:rFonts w:cstheme="minorHAnsi"/>
          <w:szCs w:val="24"/>
        </w:rPr>
        <w:t xml:space="preserve">12% of Roosevelt County’s population is 65 years and older</w:t>
      </w:r>
      <w:r>
        <w:rPr>
          <w:rFonts w:cstheme="minorHAnsi"/>
          <w:szCs w:val="24"/>
        </w:rPr>
      </w:r>
    </w:p>
    <w:p w14:paraId="6A81C370" w14:textId="18B196E6">
      <w:pPr>
        <w:pStyle w:val="1145"/>
        <w:numPr>
          <w:ilvl w:val="0"/>
          <w:numId w:val="5"/>
        </w:numPr>
        <w:pBdr/>
        <w:spacing/>
        <w:ind/>
        <w:rPr>
          <w:rFonts w:cstheme="minorHAnsi"/>
          <w:szCs w:val="24"/>
        </w:rPr>
      </w:pPr>
      <w:r>
        <w:rPr>
          <w:rFonts w:cstheme="minorHAnsi"/>
          <w:szCs w:val="24"/>
        </w:rPr>
        <w:t xml:space="preserve">6.5% of Roosevelt County’s population has Veteran status</w:t>
      </w:r>
      <w:r>
        <w:rPr>
          <w:rFonts w:cstheme="minorHAnsi"/>
          <w:szCs w:val="24"/>
        </w:rPr>
      </w:r>
    </w:p>
    <w:p w14:paraId="0F33957A" w14:textId="40D94252">
      <w:pPr>
        <w:pStyle w:val="1145"/>
        <w:numPr>
          <w:ilvl w:val="0"/>
          <w:numId w:val="5"/>
        </w:numPr>
        <w:pBdr/>
        <w:spacing/>
        <w:ind/>
        <w:rPr>
          <w:rFonts w:cstheme="minorHAnsi"/>
          <w:szCs w:val="24"/>
        </w:rPr>
      </w:pPr>
      <w:r>
        <w:rPr>
          <w:rFonts w:cstheme="minorHAnsi"/>
          <w:szCs w:val="24"/>
        </w:rPr>
        <w:t xml:space="preserve">91.5% of Roosevelt County’s population has a high school diploma. </w:t>
      </w:r>
      <w:r>
        <w:rPr>
          <w:rFonts w:cstheme="minorHAnsi"/>
          <w:szCs w:val="24"/>
        </w:rPr>
      </w:r>
    </w:p>
    <w:p w14:paraId="48FA317A" w14:textId="77777777">
      <w:pPr>
        <w:pBdr/>
        <w:spacing/>
        <w:ind/>
        <w:rPr>
          <w:rFonts w:cstheme="minorHAnsi"/>
          <w:szCs w:val="24"/>
          <w:u w:val="single"/>
        </w:rPr>
      </w:pPr>
      <w:r>
        <w:rPr>
          <w:rFonts w:cstheme="minorHAnsi"/>
          <w:szCs w:val="24"/>
          <w:u w:val="single"/>
        </w:rPr>
      </w:r>
      <w:r>
        <w:rPr>
          <w:rFonts w:cstheme="minorHAnsi"/>
          <w:szCs w:val="24"/>
          <w:u w:val="single"/>
        </w:rPr>
      </w:r>
    </w:p>
    <w:p w14:paraId="4148EC16" w14:textId="77777777">
      <w:pPr>
        <w:pBdr/>
        <w:spacing/>
        <w:ind/>
        <w:rPr>
          <w:rFonts w:cstheme="minorHAnsi"/>
          <w:szCs w:val="24"/>
          <w:u w:val="single"/>
        </w:rPr>
      </w:pPr>
      <w:r>
        <w:rPr>
          <w:rFonts w:cstheme="minorHAnsi"/>
          <w:szCs w:val="24"/>
          <w:u w:val="single"/>
        </w:rPr>
        <w:t xml:space="preserve">Size of County and Remoteness</w:t>
      </w:r>
      <w:r>
        <w:rPr>
          <w:rFonts w:cstheme="minorHAnsi"/>
          <w:szCs w:val="24"/>
          <w:u w:val="single"/>
        </w:rPr>
      </w:r>
    </w:p>
    <w:p w14:paraId="2595EEDF" w14:textId="1A7091A7">
      <w:pPr>
        <w:pStyle w:val="1145"/>
        <w:numPr>
          <w:ilvl w:val="0"/>
          <w:numId w:val="5"/>
        </w:numPr>
        <w:pBdr/>
        <w:spacing/>
        <w:ind/>
        <w:rPr>
          <w:rFonts w:cstheme="minorHAnsi"/>
          <w:szCs w:val="24"/>
        </w:rPr>
      </w:pPr>
      <w:r>
        <w:rPr>
          <w:rFonts w:cstheme="minorHAnsi"/>
          <w:szCs w:val="24"/>
        </w:rPr>
        <w:t xml:space="preserve">10,197 people in Roosevelt County</w:t>
      </w:r>
      <w:r>
        <w:rPr>
          <w:rFonts w:cstheme="minorHAnsi"/>
          <w:szCs w:val="24"/>
        </w:rPr>
      </w:r>
    </w:p>
    <w:p w14:paraId="03F9A38D" w14:textId="22555420">
      <w:pPr>
        <w:pStyle w:val="1145"/>
        <w:numPr>
          <w:ilvl w:val="0"/>
          <w:numId w:val="5"/>
        </w:numPr>
        <w:pBdr/>
        <w:spacing/>
        <w:ind/>
        <w:rPr>
          <w:rFonts w:cstheme="minorHAnsi"/>
          <w:szCs w:val="24"/>
        </w:rPr>
      </w:pPr>
      <w:r>
        <w:rPr>
          <w:rFonts w:cstheme="minorHAnsi"/>
          <w:szCs w:val="24"/>
        </w:rPr>
        <w:t xml:space="preserve">4.5 people per square mile</w:t>
      </w:r>
      <w:r>
        <w:rPr>
          <w:rFonts w:cstheme="minorHAnsi"/>
          <w:szCs w:val="24"/>
        </w:rPr>
      </w:r>
    </w:p>
    <w:p w14:paraId="1B041717" w14:textId="77777777">
      <w:pPr>
        <w:pBdr/>
        <w:spacing/>
        <w:ind/>
        <w:rPr>
          <w:rFonts w:cstheme="minorHAnsi"/>
          <w:szCs w:val="24"/>
        </w:rPr>
      </w:pPr>
      <w:r>
        <w:rPr>
          <w:rFonts w:cstheme="minorHAnsi"/>
          <w:szCs w:val="24"/>
        </w:rPr>
      </w:r>
      <w:r>
        <w:rPr>
          <w:rFonts w:cstheme="minorHAnsi"/>
          <w:szCs w:val="24"/>
        </w:rPr>
      </w:r>
    </w:p>
    <w:p w14:paraId="06F6900C" w14:textId="77777777">
      <w:pPr>
        <w:pBdr/>
        <w:spacing/>
        <w:ind/>
        <w:rPr>
          <w:rFonts w:cstheme="minorHAnsi"/>
          <w:szCs w:val="24"/>
          <w:u w:val="single"/>
        </w:rPr>
      </w:pPr>
      <w:r>
        <w:rPr>
          <w:rFonts w:cstheme="minorHAnsi"/>
          <w:szCs w:val="24"/>
          <w:u w:val="single"/>
        </w:rPr>
        <w:t xml:space="preserve">Socioeconomic Measures</w:t>
      </w:r>
      <w:r>
        <w:rPr>
          <w:rFonts w:cstheme="minorHAnsi"/>
          <w:szCs w:val="24"/>
          <w:u w:val="single"/>
        </w:rPr>
      </w:r>
    </w:p>
    <w:p w14:paraId="3C00C2CC" w14:textId="1ABA9988">
      <w:pPr>
        <w:pStyle w:val="1145"/>
        <w:numPr>
          <w:ilvl w:val="0"/>
          <w:numId w:val="5"/>
        </w:numPr>
        <w:pBdr/>
        <w:spacing/>
        <w:ind/>
        <w:rPr>
          <w:rFonts w:cstheme="minorHAnsi"/>
          <w:szCs w:val="24"/>
        </w:rPr>
      </w:pPr>
      <w:r>
        <w:rPr>
          <w:rFonts w:cstheme="minorHAnsi"/>
          <w:szCs w:val="24"/>
        </w:rPr>
        <w:t xml:space="preserve">33.9% of children live in poverty</w:t>
      </w:r>
      <w:r>
        <w:rPr>
          <w:rFonts w:cstheme="minorHAnsi"/>
          <w:szCs w:val="24"/>
        </w:rPr>
      </w:r>
    </w:p>
    <w:p w14:paraId="043DECEC" w14:textId="1CFB72D3">
      <w:pPr>
        <w:pStyle w:val="1145"/>
        <w:numPr>
          <w:ilvl w:val="0"/>
          <w:numId w:val="5"/>
        </w:numPr>
        <w:pBdr/>
        <w:spacing/>
        <w:ind/>
        <w:rPr>
          <w:rFonts w:cstheme="minorHAnsi"/>
          <w:szCs w:val="24"/>
        </w:rPr>
      </w:pPr>
      <w:r>
        <w:rPr>
          <w:rFonts w:cstheme="minorHAnsi"/>
          <w:szCs w:val="24"/>
        </w:rPr>
        <w:t xml:space="preserve">29.4% of persons are below the federal poverty level</w:t>
      </w:r>
      <w:r>
        <w:rPr>
          <w:rFonts w:cstheme="minorHAnsi"/>
          <w:szCs w:val="24"/>
        </w:rPr>
      </w:r>
    </w:p>
    <w:p w14:paraId="3C13F780" w14:textId="1267E4AC">
      <w:pPr>
        <w:pStyle w:val="1145"/>
        <w:numPr>
          <w:ilvl w:val="0"/>
          <w:numId w:val="5"/>
        </w:numPr>
        <w:pBdr/>
        <w:spacing/>
        <w:ind/>
        <w:rPr>
          <w:rFonts w:cstheme="minorHAnsi"/>
          <w:szCs w:val="24"/>
        </w:rPr>
      </w:pPr>
      <w:r>
        <w:rPr>
          <w:rFonts w:cstheme="minorHAnsi"/>
          <w:szCs w:val="24"/>
        </w:rPr>
        <w:t xml:space="preserve">12.9% of adults (age &lt;65) and 9% of children (age &lt;18) are uninsured</w:t>
      </w:r>
      <w:r>
        <w:rPr>
          <w:rFonts w:cstheme="minorHAnsi"/>
          <w:szCs w:val="24"/>
        </w:rPr>
      </w:r>
    </w:p>
    <w:p w14:paraId="650AB434" w14:textId="77777777">
      <w:pPr>
        <w:pBdr/>
        <w:spacing/>
        <w:ind/>
        <w:rPr>
          <w:rFonts w:cstheme="minorHAnsi"/>
          <w:szCs w:val="24"/>
          <w:u w:val="single"/>
        </w:rPr>
      </w:pPr>
      <w:r>
        <w:rPr>
          <w:rFonts w:cstheme="minorHAnsi"/>
          <w:szCs w:val="24"/>
          <w:u w:val="single"/>
        </w:rPr>
      </w:r>
      <w:r>
        <w:rPr>
          <w:rFonts w:cstheme="minorHAnsi"/>
          <w:szCs w:val="24"/>
          <w:u w:val="single"/>
        </w:rPr>
      </w:r>
    </w:p>
    <w:p w14:paraId="66B00C66" w14:textId="77777777">
      <w:pPr>
        <w:pBdr/>
        <w:spacing/>
        <w:ind/>
        <w:rPr>
          <w:rFonts w:cstheme="minorHAnsi"/>
          <w:szCs w:val="24"/>
          <w:u w:val="single"/>
        </w:rPr>
      </w:pPr>
      <w:r>
        <w:rPr>
          <w:rFonts w:cstheme="minorHAnsi"/>
          <w:szCs w:val="24"/>
          <w:u w:val="single"/>
        </w:rPr>
        <w:t xml:space="preserve">Select Health Measures</w:t>
      </w:r>
      <w:r>
        <w:rPr>
          <w:rFonts w:cstheme="minorHAnsi"/>
          <w:szCs w:val="24"/>
          <w:u w:val="single"/>
        </w:rPr>
      </w:r>
    </w:p>
    <w:p w14:paraId="0AD89946" w14:textId="16D650D2">
      <w:pPr>
        <w:pStyle w:val="1145"/>
        <w:numPr>
          <w:ilvl w:val="0"/>
          <w:numId w:val="5"/>
        </w:numPr>
        <w:pBdr/>
        <w:spacing/>
        <w:ind/>
        <w:rPr>
          <w:rFonts w:cstheme="minorHAnsi"/>
          <w:szCs w:val="24"/>
        </w:rPr>
      </w:pPr>
      <w:r>
        <w:rPr>
          <w:rFonts w:cstheme="minorHAnsi"/>
          <w:szCs w:val="24"/>
        </w:rPr>
        <w:t xml:space="preserve">41.0% of adults are considered obese</w:t>
      </w:r>
      <w:r>
        <w:rPr>
          <w:rFonts w:cstheme="minorHAnsi"/>
          <w:szCs w:val="24"/>
        </w:rPr>
      </w:r>
    </w:p>
    <w:p w14:paraId="327CBB57" w14:textId="61FDD5D2">
      <w:pPr>
        <w:pStyle w:val="1145"/>
        <w:numPr>
          <w:ilvl w:val="0"/>
          <w:numId w:val="5"/>
        </w:numPr>
        <w:pBdr/>
        <w:spacing/>
        <w:ind/>
        <w:rPr>
          <w:rFonts w:cstheme="minorHAnsi"/>
          <w:szCs w:val="24"/>
        </w:rPr>
      </w:pPr>
      <w:r>
        <w:rPr>
          <w:rFonts w:cstheme="minorHAnsi"/>
          <w:szCs w:val="24"/>
        </w:rPr>
        <w:t xml:space="preserve">29.4% of the adult population report physical inactivity </w:t>
      </w:r>
      <w:r>
        <w:rPr>
          <w:rFonts w:cstheme="minorHAnsi"/>
          <w:szCs w:val="24"/>
        </w:rPr>
      </w:r>
    </w:p>
    <w:p w14:paraId="5320A56A" w14:textId="53E4C390">
      <w:pPr>
        <w:pStyle w:val="1145"/>
        <w:numPr>
          <w:ilvl w:val="0"/>
          <w:numId w:val="5"/>
        </w:numPr>
        <w:pBdr/>
        <w:spacing/>
        <w:ind/>
        <w:rPr>
          <w:rFonts w:cstheme="minorHAnsi"/>
          <w:szCs w:val="24"/>
        </w:rPr>
      </w:pPr>
      <w:r>
        <w:rPr>
          <w:rFonts w:cstheme="minorHAnsi"/>
          <w:szCs w:val="24"/>
        </w:rPr>
        <w:t xml:space="preserve">The diabetes hospitalization rate per 100,000 is 2201.7 in Roosevelt County. </w:t>
      </w:r>
      <w:r>
        <w:rPr>
          <w:rFonts w:cstheme="minorHAnsi"/>
          <w:szCs w:val="24"/>
        </w:rPr>
      </w:r>
    </w:p>
    <w:p w14:paraId="7A6A2C8A" w14:textId="77777777">
      <w:pPr>
        <w:pBdr/>
        <w:spacing/>
        <w:ind/>
        <w:rPr>
          <w:rFonts w:cstheme="minorHAnsi"/>
          <w:szCs w:val="24"/>
          <w:u w:val="single"/>
        </w:rPr>
      </w:pPr>
      <w:r>
        <w:rPr>
          <w:rFonts w:cstheme="minorHAnsi"/>
          <w:szCs w:val="24"/>
          <w:u w:val="single"/>
        </w:rPr>
      </w:r>
      <w:r>
        <w:rPr>
          <w:rFonts w:cstheme="minorHAnsi"/>
          <w:szCs w:val="24"/>
          <w:u w:val="single"/>
        </w:rPr>
      </w:r>
    </w:p>
    <w:p w14:paraId="563B9A13" w14:textId="77777777">
      <w:pPr>
        <w:pBdr/>
        <w:spacing/>
        <w:ind/>
        <w:rPr>
          <w:rFonts w:cstheme="minorHAnsi"/>
          <w:szCs w:val="24"/>
        </w:rPr>
      </w:pPr>
      <w:r>
        <w:rPr>
          <w:rFonts w:cstheme="minorHAnsi"/>
          <w:szCs w:val="24"/>
          <w:u w:val="single"/>
        </w:rPr>
        <w:t xml:space="preserve">Nearest Major Hospital</w:t>
      </w:r>
      <w:r>
        <w:rPr>
          <w:rFonts w:cstheme="minorHAnsi"/>
          <w:szCs w:val="24"/>
        </w:rPr>
      </w:r>
    </w:p>
    <w:p w14:paraId="4792B2FA" w14:textId="77777777">
      <w:pPr>
        <w:numPr>
          <w:ilvl w:val="0"/>
          <w:numId w:val="10"/>
        </w:numPr>
        <w:pBdr/>
        <w:spacing/>
        <w:ind/>
        <w:rPr>
          <w:rFonts w:cstheme="minorHAnsi"/>
          <w:szCs w:val="24"/>
        </w:rPr>
      </w:pPr>
      <w:r>
        <w:rPr>
          <w:rFonts w:cstheme="minorHAnsi"/>
          <w:szCs w:val="24"/>
        </w:rPr>
        <w:t xml:space="preserve">In State: Billings Clinic, MT – 307 miles</w:t>
      </w:r>
      <w:r>
        <w:rPr>
          <w:rFonts w:cstheme="minorHAnsi"/>
          <w:szCs w:val="24"/>
        </w:rPr>
      </w:r>
    </w:p>
    <w:p w14:paraId="61E9061F" w14:textId="77777777">
      <w:pPr>
        <w:numPr>
          <w:ilvl w:val="0"/>
          <w:numId w:val="10"/>
        </w:numPr>
        <w:pBdr/>
        <w:spacing/>
        <w:ind/>
        <w:rPr>
          <w:rFonts w:cstheme="minorHAnsi"/>
          <w:szCs w:val="24"/>
        </w:rPr>
      </w:pPr>
      <w:r>
        <w:rPr>
          <w:rFonts w:cstheme="minorHAnsi"/>
          <w:szCs w:val="24"/>
        </w:rPr>
        <w:t xml:space="preserve">Out of State: CHI St. Alexius Health in Williston, ND – 75 miles</w:t>
      </w:r>
      <w:r>
        <w:rPr>
          <w:rFonts w:cstheme="minorHAnsi"/>
          <w:szCs w:val="24"/>
        </w:rPr>
      </w:r>
    </w:p>
    <w:p w14:paraId="43FFCBE8" w14:textId="77777777">
      <w:pPr>
        <w:pBdr/>
        <w:spacing w:after="200" w:line="276" w:lineRule="auto"/>
        <w:ind/>
        <w:rPr>
          <w:rFonts w:eastAsiaTheme="majorEastAsia" w:cstheme="minorHAnsi"/>
          <w:b/>
          <w:bCs/>
          <w:color w:val="ffca08" w:themeColor="accent1"/>
          <w:sz w:val="26"/>
          <w:szCs w:val="26"/>
        </w:rPr>
      </w:pPr>
      <w:r>
        <w:rPr>
          <w:rFonts w:cstheme="minorHAnsi"/>
          <w:szCs w:val="24"/>
        </w:rPr>
        <w:br w:type="page" w:clear="all"/>
      </w:r>
      <w:r>
        <w:rPr>
          <w:rFonts w:eastAsiaTheme="majorEastAsia" w:cstheme="minorHAnsi"/>
          <w:b/>
          <w:bCs/>
          <w:color w:val="ffca08" w:themeColor="accent1"/>
          <w:sz w:val="26"/>
          <w:szCs w:val="26"/>
        </w:rPr>
      </w:r>
    </w:p>
    <w:p w14:paraId="183D1788" w14:textId="01FC90CD">
      <w:pPr>
        <w:pStyle w:val="1130"/>
        <w:numPr>
          <w:ilvl w:val="0"/>
          <w:numId w:val="13"/>
        </w:numPr>
        <w:pBdr/>
        <w:spacing/>
        <w:ind/>
        <w:rPr>
          <w:rFonts w:asciiTheme="minorHAnsi" w:hAnsiTheme="minorHAnsi" w:cstheme="minorHAnsi"/>
        </w:rPr>
      </w:pPr>
      <w:r/>
      <w:bookmarkStart w:id="6" w:name="_Toc227308984"/>
      <w:r>
        <w:rPr>
          <w:rFonts w:asciiTheme="minorHAnsi" w:hAnsiTheme="minorHAnsi" w:cstheme="minorHAnsi"/>
        </w:rPr>
        <w:t xml:space="preserve">Public Health and Underserved Populations Consultation Summaries</w:t>
      </w:r>
      <w:bookmarkEnd w:id="5"/>
      <w:r/>
      <w:bookmarkEnd w:id="6"/>
      <w:r/>
      <w:r>
        <w:rPr>
          <w:rFonts w:asciiTheme="minorHAnsi" w:hAnsiTheme="minorHAnsi" w:cstheme="minorHAnsi"/>
        </w:rPr>
      </w:r>
    </w:p>
    <w:p w14:paraId="6CDC7054" w14:textId="5FCE38B4">
      <w:pPr>
        <w:pBdr/>
        <w:spacing/>
        <w:ind/>
        <w:rPr/>
      </w:pPr>
      <w:r/>
      <w:r/>
    </w:p>
    <w:p w14:paraId="4D190447" w14:textId="77777777">
      <w:pPr>
        <w:pStyle w:val="1148"/>
        <w:pBdr/>
        <w:spacing/>
        <w:ind w:left="720"/>
        <w:rPr>
          <w:rFonts w:cstheme="minorHAnsi"/>
          <w:sz w:val="24"/>
          <w:szCs w:val="24"/>
        </w:rPr>
      </w:pPr>
      <w:r>
        <w:rPr>
          <w:rFonts w:cstheme="minorHAnsi"/>
          <w:sz w:val="24"/>
          <w:szCs w:val="24"/>
        </w:rPr>
      </w:r>
      <w:r>
        <w:rPr>
          <w:rFonts w:cstheme="minorHAnsi"/>
          <w:sz w:val="24"/>
          <w:szCs w:val="24"/>
        </w:rPr>
      </w:r>
    </w:p>
    <w:p w14:paraId="7CAACBC5" w14:textId="77777777">
      <w:pPr>
        <w:pStyle w:val="1148"/>
        <w:pBdr/>
        <w:spacing/>
        <w:ind/>
        <w:rPr>
          <w:rFonts w:cstheme="minorHAnsi"/>
          <w:sz w:val="24"/>
          <w:szCs w:val="24"/>
          <w:u w:val="single"/>
        </w:rPr>
      </w:pPr>
      <w:r>
        <w:rPr>
          <w:rFonts w:cstheme="minorHAnsi"/>
          <w:sz w:val="24"/>
          <w:szCs w:val="24"/>
          <w:u w:val="single"/>
        </w:rPr>
        <w:t xml:space="preserve">Public and Community Health</w:t>
      </w:r>
      <w:r>
        <w:rPr>
          <w:rFonts w:cstheme="minorHAnsi"/>
          <w:sz w:val="24"/>
          <w:szCs w:val="24"/>
          <w:u w:val="single"/>
        </w:rPr>
      </w:r>
    </w:p>
    <w:p w14:paraId="220CD928" w14:textId="058E23AE">
      <w:pPr>
        <w:pStyle w:val="1148"/>
        <w:numPr>
          <w:ilvl w:val="0"/>
          <w:numId w:val="18"/>
        </w:numPr>
        <w:pBdr/>
        <w:spacing w:after="120" w:line="276" w:lineRule="auto"/>
        <w:ind/>
        <w:contextualSpacing w:val="true"/>
        <w:rPr>
          <w:rFonts w:cstheme="minorHAnsi"/>
          <w:sz w:val="24"/>
          <w:szCs w:val="24"/>
        </w:rPr>
      </w:pPr>
      <w:r>
        <w:rPr>
          <w:rFonts w:cstheme="minorHAnsi"/>
          <w:sz w:val="24"/>
          <w:szCs w:val="24"/>
        </w:rPr>
        <w:t xml:space="preserve">Transportation to out of town healthcare referral appointment is a big deal </w:t>
      </w:r>
      <w:r>
        <w:rPr>
          <w:rFonts w:cstheme="minorHAnsi"/>
          <w:sz w:val="24"/>
          <w:szCs w:val="24"/>
        </w:rPr>
      </w:r>
    </w:p>
    <w:p w14:paraId="4A21BEA3" w14:textId="2CA99B60">
      <w:pPr>
        <w:pStyle w:val="1148"/>
        <w:numPr>
          <w:ilvl w:val="0"/>
          <w:numId w:val="18"/>
        </w:numPr>
        <w:pBdr/>
        <w:spacing w:after="120" w:line="276" w:lineRule="auto"/>
        <w:ind/>
        <w:contextualSpacing w:val="true"/>
        <w:rPr>
          <w:rFonts w:cstheme="minorHAnsi"/>
          <w:sz w:val="24"/>
          <w:szCs w:val="24"/>
        </w:rPr>
      </w:pPr>
      <w:r>
        <w:rPr>
          <w:rFonts w:cstheme="minorHAnsi"/>
          <w:sz w:val="24"/>
          <w:szCs w:val="24"/>
        </w:rPr>
        <w:t xml:space="preserve">Alcohol and substance use is prevalent here</w:t>
      </w:r>
      <w:r>
        <w:rPr>
          <w:rFonts w:cstheme="minorHAnsi"/>
          <w:sz w:val="24"/>
          <w:szCs w:val="24"/>
        </w:rPr>
      </w:r>
    </w:p>
    <w:p w14:paraId="6964219F" w14:textId="38677A92">
      <w:pPr>
        <w:pStyle w:val="1148"/>
        <w:numPr>
          <w:ilvl w:val="0"/>
          <w:numId w:val="18"/>
        </w:numPr>
        <w:pBdr/>
        <w:spacing w:after="120" w:line="276" w:lineRule="auto"/>
        <w:ind/>
        <w:contextualSpacing w:val="true"/>
        <w:rPr>
          <w:rFonts w:cstheme="minorHAnsi"/>
          <w:sz w:val="24"/>
          <w:szCs w:val="24"/>
        </w:rPr>
      </w:pPr>
      <w:r>
        <w:rPr>
          <w:rFonts w:cstheme="minorHAnsi"/>
          <w:sz w:val="24"/>
          <w:szCs w:val="24"/>
        </w:rPr>
        <w:t xml:space="preserve">Mental health care is desperately needed</w:t>
      </w:r>
      <w:r>
        <w:rPr>
          <w:rFonts w:cstheme="minorHAnsi"/>
          <w:sz w:val="24"/>
          <w:szCs w:val="24"/>
        </w:rPr>
      </w:r>
    </w:p>
    <w:p w14:paraId="48FBFE72" w14:textId="77777777">
      <w:pPr>
        <w:pStyle w:val="1148"/>
        <w:pBdr/>
        <w:spacing/>
        <w:ind/>
        <w:rPr>
          <w:rFonts w:cstheme="minorHAnsi"/>
          <w:sz w:val="24"/>
          <w:szCs w:val="24"/>
          <w:u w:val="single"/>
        </w:rPr>
      </w:pPr>
      <w:r>
        <w:rPr>
          <w:rFonts w:cstheme="minorHAnsi"/>
          <w:sz w:val="24"/>
          <w:szCs w:val="24"/>
          <w:u w:val="single"/>
        </w:rPr>
      </w:r>
      <w:r>
        <w:rPr>
          <w:rFonts w:cstheme="minorHAnsi"/>
          <w:sz w:val="24"/>
          <w:szCs w:val="24"/>
          <w:u w:val="single"/>
        </w:rPr>
      </w:r>
    </w:p>
    <w:p w14:paraId="2846D50D" w14:textId="58978CA8">
      <w:pPr>
        <w:pStyle w:val="1148"/>
        <w:pBdr/>
        <w:spacing/>
        <w:ind/>
        <w:rPr>
          <w:rFonts w:cstheme="minorHAnsi"/>
          <w:sz w:val="24"/>
          <w:szCs w:val="24"/>
        </w:rPr>
      </w:pPr>
      <w:r>
        <w:rPr>
          <w:rFonts w:cstheme="minorHAnsi"/>
          <w:sz w:val="24"/>
          <w:szCs w:val="24"/>
          <w:u w:val="single"/>
        </w:rPr>
        <w:t xml:space="preserve">Population: Low income, underinsured</w:t>
      </w:r>
      <w:r>
        <w:rPr>
          <w:rFonts w:cstheme="minorHAnsi"/>
          <w:sz w:val="24"/>
          <w:szCs w:val="24"/>
        </w:rPr>
      </w:r>
    </w:p>
    <w:p w14:paraId="48D5D78C" w14:textId="0FE1C2DB">
      <w:pPr>
        <w:pStyle w:val="1148"/>
        <w:numPr>
          <w:ilvl w:val="0"/>
          <w:numId w:val="20"/>
        </w:numPr>
        <w:pBdr/>
        <w:spacing w:after="120" w:line="276" w:lineRule="auto"/>
        <w:ind/>
        <w:contextualSpacing w:val="true"/>
        <w:rPr>
          <w:rFonts w:cstheme="minorHAnsi"/>
          <w:sz w:val="24"/>
          <w:szCs w:val="24"/>
        </w:rPr>
      </w:pPr>
      <w:r>
        <w:rPr>
          <w:rFonts w:cstheme="minorHAnsi"/>
          <w:sz w:val="24"/>
          <w:szCs w:val="24"/>
        </w:rPr>
        <w:t xml:space="preserve">Costs are high and there are many here who cannot afford the healthcare services they need</w:t>
      </w:r>
      <w:r>
        <w:rPr>
          <w:rFonts w:cstheme="minorHAnsi"/>
          <w:sz w:val="24"/>
          <w:szCs w:val="24"/>
        </w:rPr>
      </w:r>
    </w:p>
    <w:p w14:paraId="2E5750ED" w14:textId="77777777">
      <w:pPr>
        <w:pStyle w:val="1148"/>
        <w:pBdr/>
        <w:spacing/>
        <w:ind/>
        <w:rPr>
          <w:rFonts w:cstheme="minorHAnsi"/>
          <w:sz w:val="24"/>
          <w:szCs w:val="24"/>
          <w:u w:val="single"/>
        </w:rPr>
      </w:pPr>
      <w:r>
        <w:rPr>
          <w:rFonts w:cstheme="minorHAnsi"/>
          <w:sz w:val="24"/>
          <w:szCs w:val="24"/>
          <w:u w:val="single"/>
        </w:rPr>
      </w:r>
      <w:r>
        <w:rPr>
          <w:rFonts w:cstheme="minorHAnsi"/>
          <w:sz w:val="24"/>
          <w:szCs w:val="24"/>
          <w:u w:val="single"/>
        </w:rPr>
      </w:r>
    </w:p>
    <w:p w14:paraId="6754AA03" w14:textId="370A2032">
      <w:pPr>
        <w:pStyle w:val="1148"/>
        <w:pBdr/>
        <w:spacing/>
        <w:ind/>
        <w:rPr>
          <w:rFonts w:cstheme="minorHAnsi"/>
          <w:sz w:val="24"/>
          <w:szCs w:val="24"/>
          <w:u w:val="single"/>
        </w:rPr>
      </w:pPr>
      <w:r>
        <w:rPr>
          <w:rFonts w:cstheme="minorHAnsi"/>
          <w:sz w:val="24"/>
          <w:szCs w:val="24"/>
          <w:u w:val="single"/>
        </w:rPr>
        <w:t xml:space="preserve">Population: </w:t>
      </w:r>
      <w:r>
        <w:rPr>
          <w:rFonts w:cstheme="minorHAnsi"/>
          <w:sz w:val="24"/>
          <w:szCs w:val="24"/>
          <w:u w:val="single"/>
        </w:rPr>
        <w:t xml:space="preserve">Seniors</w:t>
      </w:r>
      <w:r>
        <w:rPr>
          <w:rFonts w:cstheme="minorHAnsi"/>
          <w:sz w:val="24"/>
          <w:szCs w:val="24"/>
          <w:u w:val="single"/>
        </w:rPr>
      </w:r>
    </w:p>
    <w:p w14:paraId="33D9924F" w14:textId="6A4E92AD">
      <w:pPr>
        <w:pStyle w:val="1145"/>
        <w:numPr>
          <w:ilvl w:val="0"/>
          <w:numId w:val="19"/>
        </w:numPr>
        <w:pBdr/>
        <w:spacing w:after="120" w:line="276" w:lineRule="auto"/>
        <w:ind/>
        <w:rPr>
          <w:rFonts w:cstheme="minorHAnsi"/>
          <w:szCs w:val="24"/>
        </w:rPr>
      </w:pPr>
      <w:r>
        <w:rPr>
          <w:rFonts w:cstheme="minorHAnsi"/>
        </w:rPr>
        <w:t xml:space="preserve">We need safe retirement/senior living apartment</w:t>
      </w:r>
      <w:r>
        <w:rPr>
          <w:rFonts w:cstheme="minorHAnsi"/>
          <w:szCs w:val="24"/>
        </w:rPr>
      </w:r>
    </w:p>
    <w:p w14:paraId="22BC8EDC" w14:textId="2EE96AF8">
      <w:pPr>
        <w:pStyle w:val="1145"/>
        <w:numPr>
          <w:ilvl w:val="0"/>
          <w:numId w:val="19"/>
        </w:numPr>
        <w:pBdr/>
        <w:spacing w:after="120" w:line="276" w:lineRule="auto"/>
        <w:ind/>
        <w:rPr>
          <w:rFonts w:cstheme="minorHAnsi"/>
          <w:szCs w:val="24"/>
        </w:rPr>
      </w:pPr>
      <w:r>
        <w:rPr>
          <w:rFonts w:cstheme="minorHAnsi"/>
        </w:rPr>
        <w:t xml:space="preserve">We could also use an assisted living facility and a nursing home</w:t>
      </w:r>
      <w:r>
        <w:rPr>
          <w:rFonts w:cstheme="minorHAnsi"/>
          <w:szCs w:val="24"/>
        </w:rPr>
      </w:r>
    </w:p>
    <w:p w14:paraId="4D1D04E6" w14:textId="77777777">
      <w:pPr>
        <w:pBdr/>
        <w:spacing w:after="200" w:line="276" w:lineRule="auto"/>
        <w:ind/>
        <w:rPr>
          <w:rFonts w:eastAsiaTheme="minorHAnsi" w:cstheme="minorHAnsi"/>
          <w:sz w:val="22"/>
          <w:szCs w:val="24"/>
          <w:lang w:bidi="ar-SA"/>
        </w:rPr>
      </w:pPr>
      <w:r>
        <w:rPr>
          <w:rFonts w:cstheme="minorHAnsi"/>
          <w:szCs w:val="24"/>
        </w:rPr>
        <w:br w:type="page" w:clear="all"/>
      </w:r>
      <w:r>
        <w:rPr>
          <w:rFonts w:eastAsiaTheme="minorHAnsi" w:cstheme="minorHAnsi"/>
          <w:sz w:val="22"/>
          <w:szCs w:val="24"/>
          <w:lang w:bidi="ar-SA"/>
        </w:rPr>
      </w:r>
    </w:p>
    <w:p w14:paraId="02D922E4" w14:textId="76DDC07F">
      <w:pPr>
        <w:pStyle w:val="1129"/>
        <w:pBdr/>
        <w:spacing w:before="0"/>
        <w:ind/>
        <w:jc w:val="center"/>
        <w:rPr>
          <w:rFonts w:asciiTheme="minorHAnsi" w:hAnsiTheme="minorHAnsi" w:cstheme="minorHAnsi"/>
          <w:u w:val="single"/>
        </w:rPr>
      </w:pPr>
      <w:r/>
      <w:bookmarkStart w:id="7" w:name="_Toc227308985"/>
      <w:r>
        <w:rPr>
          <w:rFonts w:asciiTheme="minorHAnsi" w:hAnsiTheme="minorHAnsi" w:cstheme="minorHAnsi"/>
        </w:rPr>
        <w:t xml:space="preserve">Needs Identified and Prioritized</w:t>
      </w:r>
      <w:bookmarkEnd w:id="7"/>
      <w:r/>
      <w:r>
        <w:rPr>
          <w:rFonts w:asciiTheme="minorHAnsi" w:hAnsiTheme="minorHAnsi" w:cstheme="minorHAnsi"/>
          <w:u w:val="single"/>
        </w:rPr>
      </w:r>
    </w:p>
    <w:p w14:paraId="5F1C354E" w14:textId="77777777">
      <w:pPr>
        <w:pBdr/>
        <w:spacing/>
        <w:ind w:firstLine="270"/>
        <w:jc w:val="center"/>
        <w:rPr>
          <w:rFonts w:cstheme="minorHAnsi"/>
          <w:b/>
          <w:i/>
        </w:rPr>
      </w:pPr>
      <w:r>
        <w:rPr>
          <w:rFonts w:cstheme="minorHAnsi"/>
          <w:b/>
          <w:i/>
        </w:rPr>
      </w:r>
      <w:r>
        <w:rPr>
          <w:rFonts w:cstheme="minorHAnsi"/>
          <w:b/>
          <w:i/>
        </w:rPr>
      </w:r>
    </w:p>
    <w:p w14:paraId="5C1EF643" w14:textId="42CD47FC">
      <w:pPr>
        <w:pStyle w:val="1130"/>
        <w:pBdr/>
        <w:spacing w:before="0"/>
        <w:ind/>
        <w:rPr>
          <w:rFonts w:asciiTheme="minorHAnsi" w:hAnsiTheme="minorHAnsi" w:cstheme="minorHAnsi"/>
          <w:i/>
        </w:rPr>
      </w:pPr>
      <w:r/>
      <w:bookmarkStart w:id="8" w:name="_Toc227308986"/>
      <w:r/>
      <w:bookmarkStart w:id="9" w:name="_Hlk20122593"/>
      <w:r>
        <w:rPr>
          <w:rFonts w:asciiTheme="minorHAnsi" w:hAnsiTheme="minorHAnsi" w:cstheme="minorHAnsi"/>
          <w:i/>
        </w:rPr>
        <w:t xml:space="preserve">Prioritized Needs to Address</w:t>
      </w:r>
      <w:bookmarkEnd w:id="8"/>
      <w:r>
        <w:rPr>
          <w:rFonts w:asciiTheme="minorHAnsi" w:hAnsiTheme="minorHAnsi" w:cstheme="minorHAnsi"/>
          <w:i/>
        </w:rPr>
        <w:t xml:space="preserve"> </w:t>
      </w:r>
      <w:r>
        <w:rPr>
          <w:rFonts w:asciiTheme="minorHAnsi" w:hAnsiTheme="minorHAnsi" w:cstheme="minorHAnsi"/>
          <w:i/>
        </w:rPr>
      </w:r>
    </w:p>
    <w:p w14:paraId="1145B221" w14:textId="2DB919A3">
      <w:pPr>
        <w:pStyle w:val="1145"/>
        <w:numPr>
          <w:ilvl w:val="0"/>
          <w:numId w:val="11"/>
        </w:numPr>
        <w:pBdr/>
        <w:spacing/>
        <w:ind/>
        <w:rPr>
          <w:rFonts w:cstheme="minorHAnsi"/>
          <w:bCs/>
          <w:szCs w:val="24"/>
        </w:rPr>
      </w:pPr>
      <w:r>
        <w:t xml:space="preserve">62% of respondents rated the general health of the community as “Unhealthy.”</w:t>
      </w:r>
      <w:r>
        <w:rPr>
          <w:rFonts w:cstheme="minorHAnsi"/>
          <w:bCs/>
          <w:szCs w:val="24"/>
        </w:rPr>
      </w:r>
    </w:p>
    <w:p w14:paraId="33666859" w14:textId="6ECF7BAC">
      <w:pPr>
        <w:pStyle w:val="1145"/>
        <w:numPr>
          <w:ilvl w:val="0"/>
          <w:numId w:val="11"/>
        </w:numPr>
        <w:pBdr/>
        <w:spacing/>
        <w:ind/>
        <w:rPr>
          <w:rFonts w:cstheme="minorHAnsi"/>
          <w:bCs/>
          <w:szCs w:val="24"/>
        </w:rPr>
      </w:pPr>
      <w:r>
        <w:t xml:space="preserve">The top three most serious health concerns in the community are “Alcohol/substance abuse,” “Child abuse/neglect,” and “Mental health issues.”</w:t>
      </w:r>
      <w:r>
        <w:rPr>
          <w:rFonts w:cstheme="minorHAnsi"/>
          <w:bCs/>
          <w:szCs w:val="24"/>
        </w:rPr>
      </w:r>
    </w:p>
    <w:p w14:paraId="2D35343D" w14:textId="31C5738E">
      <w:pPr>
        <w:pStyle w:val="1145"/>
        <w:numPr>
          <w:ilvl w:val="0"/>
          <w:numId w:val="11"/>
        </w:numPr>
        <w:pBdr/>
        <w:spacing/>
        <w:ind/>
        <w:rPr>
          <w:rFonts w:cstheme="minorHAnsi"/>
          <w:bCs/>
          <w:szCs w:val="24"/>
        </w:rPr>
      </w:pPr>
      <w:r>
        <w:rPr>
          <w:rFonts w:cstheme="minorHAnsi"/>
          <w:bCs/>
          <w:szCs w:val="24"/>
        </w:rPr>
        <w:t xml:space="preserve">“Healthy behaviors and lifestyles” and “Access to healthcare and other services” are the two most important things for a healthy community. </w:t>
      </w:r>
      <w:r>
        <w:rPr>
          <w:rFonts w:cstheme="minorHAnsi"/>
          <w:bCs/>
          <w:szCs w:val="24"/>
        </w:rPr>
      </w:r>
    </w:p>
    <w:p w14:paraId="11801219" w14:textId="5BC2CF16">
      <w:pPr>
        <w:pStyle w:val="1145"/>
        <w:numPr>
          <w:ilvl w:val="0"/>
          <w:numId w:val="11"/>
        </w:numPr>
        <w:pBdr/>
        <w:spacing/>
        <w:ind/>
        <w:rPr>
          <w:rFonts w:cstheme="minorHAnsi"/>
          <w:bCs/>
          <w:szCs w:val="24"/>
        </w:rPr>
      </w:pPr>
      <w:r>
        <w:rPr>
          <w:rFonts w:cstheme="minorHAnsi"/>
          <w:bCs/>
          <w:szCs w:val="24"/>
        </w:rPr>
        <w:t xml:space="preserve">Only 7% of respondents had utilized mental health care resources in the last year. </w:t>
      </w:r>
      <w:r>
        <w:rPr>
          <w:rFonts w:cstheme="minorHAnsi"/>
          <w:bCs/>
          <w:szCs w:val="24"/>
        </w:rPr>
      </w:r>
    </w:p>
    <w:p w14:paraId="5A1858E1" w14:textId="2ACD9851">
      <w:pPr>
        <w:pStyle w:val="1145"/>
        <w:numPr>
          <w:ilvl w:val="0"/>
          <w:numId w:val="11"/>
        </w:numPr>
        <w:pBdr/>
        <w:spacing/>
        <w:ind/>
        <w:rPr>
          <w:rFonts w:cstheme="minorHAnsi"/>
          <w:bCs/>
          <w:szCs w:val="24"/>
        </w:rPr>
      </w:pPr>
      <w:r>
        <w:rPr>
          <w:rFonts w:cstheme="minorHAnsi"/>
          <w:bCs/>
          <w:szCs w:val="24"/>
        </w:rPr>
        <w:t xml:space="preserve">44% of respondents indicated that they delayed receiving medical services; the top reasons were “Too long to wait for an appointment</w:t>
      </w:r>
      <w:r>
        <w:rPr>
          <w:rFonts w:cstheme="minorHAnsi"/>
          <w:bCs/>
          <w:szCs w:val="24"/>
        </w:rPr>
        <w:t xml:space="preserve">,” </w:t>
      </w:r>
      <w:r>
        <w:rPr>
          <w:rFonts w:cstheme="minorHAnsi"/>
          <w:bCs/>
          <w:szCs w:val="24"/>
        </w:rPr>
        <w:t xml:space="preserve">“Could not get an appointment</w:t>
      </w:r>
      <w:r>
        <w:rPr>
          <w:rFonts w:cstheme="minorHAnsi"/>
          <w:bCs/>
          <w:szCs w:val="24"/>
        </w:rPr>
        <w:t xml:space="preserve">,” and “It cost too much.”</w:t>
      </w:r>
      <w:r>
        <w:rPr>
          <w:rFonts w:cstheme="minorHAnsi"/>
          <w:bCs/>
          <w:szCs w:val="24"/>
        </w:rPr>
      </w:r>
    </w:p>
    <w:p w14:paraId="5DC95B8E" w14:textId="5782C7EA">
      <w:pPr>
        <w:pStyle w:val="1145"/>
        <w:numPr>
          <w:ilvl w:val="0"/>
          <w:numId w:val="11"/>
        </w:numPr>
        <w:pBdr/>
        <w:spacing/>
        <w:ind/>
        <w:rPr>
          <w:rFonts w:cstheme="minorHAnsi"/>
          <w:bCs/>
          <w:szCs w:val="24"/>
        </w:rPr>
      </w:pPr>
      <w:r>
        <w:rPr>
          <w:rFonts w:cstheme="minorHAnsi"/>
          <w:bCs/>
          <w:szCs w:val="24"/>
        </w:rPr>
        <w:t xml:space="preserve">14% of respondents had gotten a colonoscopy in the last year. </w:t>
      </w:r>
      <w:r>
        <w:rPr>
          <w:rFonts w:cstheme="minorHAnsi"/>
          <w:bCs/>
          <w:szCs w:val="24"/>
        </w:rPr>
      </w:r>
    </w:p>
    <w:p w14:paraId="26806758" w14:textId="664F1951">
      <w:pPr>
        <w:pStyle w:val="1145"/>
        <w:numPr>
          <w:ilvl w:val="0"/>
          <w:numId w:val="11"/>
        </w:numPr>
        <w:pBdr/>
        <w:spacing/>
        <w:ind/>
        <w:rPr>
          <w:rFonts w:cstheme="minorHAnsi"/>
          <w:bCs/>
          <w:szCs w:val="24"/>
        </w:rPr>
      </w:pPr>
      <w:r>
        <w:rPr>
          <w:rFonts w:cstheme="minorHAnsi"/>
          <w:bCs/>
          <w:szCs w:val="24"/>
        </w:rPr>
        <w:t xml:space="preserve">Many respondents indicated that they would utilize mental health services if they were available locally. </w:t>
      </w:r>
      <w:r>
        <w:rPr>
          <w:rFonts w:cstheme="minorHAnsi"/>
          <w:bCs/>
          <w:szCs w:val="24"/>
        </w:rPr>
      </w:r>
    </w:p>
    <w:p w14:paraId="0C846722" w14:textId="0FD979C8">
      <w:pPr>
        <w:pStyle w:val="1145"/>
        <w:numPr>
          <w:ilvl w:val="0"/>
          <w:numId w:val="11"/>
        </w:numPr>
        <w:pBdr/>
        <w:spacing/>
        <w:ind/>
        <w:rPr>
          <w:rFonts w:cstheme="minorHAnsi"/>
          <w:bCs/>
          <w:szCs w:val="24"/>
        </w:rPr>
      </w:pPr>
      <w:r>
        <w:rPr>
          <w:rFonts w:cstheme="minorHAnsi"/>
          <w:bCs/>
          <w:szCs w:val="24"/>
        </w:rPr>
        <w:t xml:space="preserve">Respondents wrote in that they would like to see more dentistry offered locally. </w:t>
      </w:r>
      <w:r>
        <w:rPr>
          <w:rFonts w:cstheme="minorHAnsi"/>
          <w:bCs/>
          <w:szCs w:val="24"/>
        </w:rPr>
      </w:r>
    </w:p>
    <w:p w14:paraId="57C71761" w14:textId="3CEF247F">
      <w:pPr>
        <w:pStyle w:val="1145"/>
        <w:numPr>
          <w:ilvl w:val="0"/>
          <w:numId w:val="11"/>
        </w:numPr>
        <w:pBdr/>
        <w:spacing/>
        <w:ind/>
        <w:rPr>
          <w:rFonts w:cstheme="minorHAnsi"/>
          <w:bCs/>
          <w:szCs w:val="24"/>
        </w:rPr>
      </w:pPr>
      <w:r>
        <w:rPr>
          <w:rFonts w:cstheme="minorHAnsi"/>
          <w:bCs/>
          <w:szCs w:val="24"/>
        </w:rPr>
        <w:t xml:space="preserve">32% of respondents report that they utilize hospitals outside of Poplar/Wolf Point, and many cited services offered as their reason why they visited a specific hospital. </w:t>
      </w:r>
      <w:r>
        <w:rPr>
          <w:rFonts w:cstheme="minorHAnsi"/>
          <w:bCs/>
          <w:szCs w:val="24"/>
        </w:rPr>
      </w:r>
    </w:p>
    <w:p w14:paraId="71C3B227" w14:textId="32C73ACC">
      <w:pPr>
        <w:pStyle w:val="1145"/>
        <w:numPr>
          <w:ilvl w:val="0"/>
          <w:numId w:val="11"/>
        </w:numPr>
        <w:pBdr/>
        <w:spacing/>
        <w:ind/>
        <w:rPr>
          <w:rFonts w:cstheme="minorHAnsi"/>
          <w:bCs/>
          <w:szCs w:val="24"/>
        </w:rPr>
      </w:pPr>
      <w:r>
        <w:rPr>
          <w:rFonts w:cstheme="minorHAnsi"/>
          <w:bCs/>
          <w:szCs w:val="24"/>
        </w:rPr>
        <w:t xml:space="preserve">89% of respondents saw a primary care provider, and 63% stayed in Poplar/Wolf Point for that care. </w:t>
      </w:r>
      <w:r>
        <w:rPr>
          <w:rFonts w:cstheme="minorHAnsi"/>
          <w:bCs/>
          <w:szCs w:val="24"/>
        </w:rPr>
      </w:r>
    </w:p>
    <w:p w14:paraId="26B2DDF8" w14:textId="54867375">
      <w:pPr>
        <w:pStyle w:val="1145"/>
        <w:numPr>
          <w:ilvl w:val="0"/>
          <w:numId w:val="11"/>
        </w:numPr>
        <w:pBdr/>
        <w:spacing/>
        <w:ind/>
        <w:rPr>
          <w:rFonts w:cstheme="minorHAnsi"/>
          <w:bCs/>
          <w:szCs w:val="24"/>
        </w:rPr>
      </w:pPr>
      <w:r>
        <w:rPr>
          <w:rFonts w:cstheme="minorHAnsi"/>
          <w:bCs/>
          <w:szCs w:val="24"/>
        </w:rPr>
        <w:t xml:space="preserve">75% of respondents saw a specialist for care, and the majority reported going to a facility not in Poplar/Wolf Point to receive specialty care. </w:t>
      </w:r>
      <w:r>
        <w:rPr>
          <w:rFonts w:cstheme="minorHAnsi"/>
          <w:bCs/>
          <w:szCs w:val="24"/>
        </w:rPr>
      </w:r>
    </w:p>
    <w:p w14:paraId="57740EC4" w14:textId="6D4DAB0D">
      <w:pPr>
        <w:pStyle w:val="1145"/>
        <w:numPr>
          <w:ilvl w:val="0"/>
          <w:numId w:val="11"/>
        </w:numPr>
        <w:pBdr/>
        <w:spacing/>
        <w:ind/>
        <w:rPr>
          <w:rFonts w:cstheme="minorHAnsi"/>
          <w:bCs/>
          <w:szCs w:val="24"/>
        </w:rPr>
      </w:pPr>
      <w:r>
        <w:rPr>
          <w:rFonts w:cstheme="minorHAnsi"/>
          <w:bCs/>
          <w:szCs w:val="24"/>
        </w:rPr>
        <w:t xml:space="preserve">23% of respondents report receiving care from a physical therapist</w:t>
      </w:r>
      <w:r>
        <w:rPr>
          <w:rFonts w:cstheme="minorHAnsi"/>
          <w:bCs/>
          <w:szCs w:val="24"/>
        </w:rPr>
        <w:t xml:space="preserve">, and 20% saw a general surgeon. </w:t>
      </w:r>
      <w:r>
        <w:rPr>
          <w:rFonts w:cstheme="minorHAnsi"/>
          <w:bCs/>
          <w:szCs w:val="24"/>
        </w:rPr>
      </w:r>
    </w:p>
    <w:p w14:paraId="631581AD" w14:textId="73B3CDF4">
      <w:pPr>
        <w:pStyle w:val="1145"/>
        <w:numPr>
          <w:ilvl w:val="0"/>
          <w:numId w:val="11"/>
        </w:numPr>
        <w:pBdr/>
        <w:spacing/>
        <w:ind/>
        <w:rPr>
          <w:rFonts w:cstheme="minorHAnsi"/>
          <w:bCs/>
          <w:szCs w:val="24"/>
        </w:rPr>
      </w:pPr>
      <w:r>
        <w:rPr>
          <w:rFonts w:cstheme="minorHAnsi"/>
          <w:bCs/>
          <w:szCs w:val="24"/>
        </w:rPr>
        <w:t xml:space="preserve">32% of respondents indicated they have experienced period of depression</w:t>
      </w:r>
      <w:r>
        <w:rPr>
          <w:rFonts w:cstheme="minorHAnsi"/>
          <w:bCs/>
          <w:szCs w:val="24"/>
        </w:rPr>
        <w:t xml:space="preserve">.</w:t>
      </w:r>
      <w:r>
        <w:rPr>
          <w:rFonts w:cstheme="minorHAnsi"/>
          <w:bCs/>
          <w:szCs w:val="24"/>
        </w:rPr>
        <w:t xml:space="preserve"> </w:t>
      </w:r>
      <w:r>
        <w:rPr>
          <w:rFonts w:cstheme="minorHAnsi"/>
          <w:bCs/>
          <w:szCs w:val="24"/>
        </w:rPr>
      </w:r>
    </w:p>
    <w:p w14:paraId="68085629" w14:textId="7C4E2558">
      <w:pPr>
        <w:pStyle w:val="1145"/>
        <w:numPr>
          <w:ilvl w:val="0"/>
          <w:numId w:val="11"/>
        </w:numPr>
        <w:pBdr/>
        <w:spacing/>
        <w:ind/>
        <w:rPr>
          <w:rFonts w:cstheme="minorHAnsi"/>
          <w:bCs/>
          <w:szCs w:val="24"/>
        </w:rPr>
      </w:pPr>
      <w:r>
        <w:rPr>
          <w:rFonts w:cstheme="minorHAnsi"/>
          <w:bCs/>
          <w:szCs w:val="24"/>
        </w:rPr>
        <w:t xml:space="preserve">30% of respondents reported infrequent physical activity. </w:t>
      </w:r>
      <w:r>
        <w:rPr>
          <w:rFonts w:cstheme="minorHAnsi"/>
          <w:bCs/>
          <w:szCs w:val="24"/>
        </w:rPr>
      </w:r>
    </w:p>
    <w:p w14:paraId="3DB057BB" w14:textId="397113FC">
      <w:pPr>
        <w:pStyle w:val="1145"/>
        <w:numPr>
          <w:ilvl w:val="0"/>
          <w:numId w:val="11"/>
        </w:numPr>
        <w:pBdr/>
        <w:spacing/>
        <w:ind/>
        <w:rPr>
          <w:rFonts w:cstheme="minorHAnsi"/>
          <w:bCs/>
          <w:szCs w:val="24"/>
        </w:rPr>
      </w:pPr>
      <w:r>
        <w:rPr>
          <w:rFonts w:cstheme="minorHAnsi"/>
          <w:bCs/>
          <w:szCs w:val="24"/>
        </w:rPr>
        <w:t xml:space="preserve">23% of respondents said cost had been a barrier to getting their prescription or medication.</w:t>
      </w:r>
      <w:r>
        <w:rPr>
          <w:rFonts w:cstheme="minorHAnsi"/>
          <w:bCs/>
          <w:szCs w:val="24"/>
        </w:rPr>
      </w:r>
    </w:p>
    <w:p w14:paraId="3F5F955F" w14:textId="7604C2A0">
      <w:pPr>
        <w:pStyle w:val="1145"/>
        <w:numPr>
          <w:ilvl w:val="0"/>
          <w:numId w:val="11"/>
        </w:numPr>
        <w:pBdr/>
        <w:spacing/>
        <w:ind/>
        <w:rPr>
          <w:rFonts w:cstheme="minorHAnsi"/>
          <w:bCs/>
          <w:szCs w:val="24"/>
        </w:rPr>
      </w:pPr>
      <w:r>
        <w:rPr>
          <w:rFonts w:cstheme="minorHAnsi"/>
          <w:bCs/>
          <w:szCs w:val="24"/>
        </w:rPr>
        <w:t xml:space="preserve">14% of respondents indicated that they have Medicare coverage. </w:t>
      </w:r>
      <w:r>
        <w:rPr>
          <w:rFonts w:cstheme="minorHAnsi"/>
          <w:bCs/>
          <w:szCs w:val="24"/>
        </w:rPr>
      </w:r>
    </w:p>
    <w:p w14:paraId="680C74C7" w14:textId="14AEADC9">
      <w:pPr>
        <w:pStyle w:val="1145"/>
        <w:numPr>
          <w:ilvl w:val="0"/>
          <w:numId w:val="11"/>
        </w:numPr>
        <w:pBdr/>
        <w:spacing/>
        <w:ind/>
        <w:rPr>
          <w:rFonts w:cstheme="minorHAnsi"/>
          <w:bCs/>
          <w:szCs w:val="24"/>
        </w:rPr>
      </w:pPr>
      <w:r>
        <w:rPr>
          <w:rFonts w:cstheme="minorHAnsi"/>
          <w:bCs/>
          <w:szCs w:val="24"/>
        </w:rPr>
        <w:t xml:space="preserve">Al</w:t>
      </w:r>
      <w:r>
        <w:rPr>
          <w:rFonts w:cstheme="minorHAnsi"/>
          <w:bCs/>
          <w:szCs w:val="24"/>
        </w:rPr>
        <w:t xml:space="preserve">l respondents who did not have health insurance cited cost as the reason for their lack of coverage. </w:t>
      </w:r>
      <w:bookmarkStart w:id="10" w:name="_Toc227308987"/>
      <w:r/>
      <w:bookmarkEnd w:id="9"/>
      <w:r/>
      <w:r>
        <w:rPr>
          <w:rFonts w:cstheme="minorHAnsi"/>
          <w:bCs/>
          <w:szCs w:val="24"/>
        </w:rPr>
      </w:r>
    </w:p>
    <w:p w14:paraId="5E41F59A" w14:textId="35D500B6">
      <w:pPr>
        <w:pStyle w:val="1145"/>
        <w:numPr>
          <w:ilvl w:val="0"/>
          <w:numId w:val="11"/>
        </w:numPr>
        <w:pBdr/>
        <w:spacing/>
        <w:ind/>
        <w:rPr>
          <w:rStyle w:val="1160"/>
          <w:rFonts w:asciiTheme="minorHAnsi" w:hAnsiTheme="minorHAnsi" w:eastAsiaTheme="minorEastAsia" w:cstheme="minorHAnsi"/>
          <w:b w:val="0"/>
          <w:color w:val="auto"/>
          <w:sz w:val="24"/>
          <w:szCs w:val="24"/>
        </w:rPr>
      </w:pPr>
      <w:r>
        <w:rPr>
          <w:rFonts w:cstheme="minorHAnsi"/>
          <w:bCs/>
          <w:szCs w:val="24"/>
        </w:rPr>
        <w:t xml:space="preserve">Community members voiced the need for more safe and affordable senior living options. </w:t>
      </w:r>
      <w:r>
        <w:rPr>
          <w:rStyle w:val="1160"/>
          <w:rFonts w:asciiTheme="minorHAnsi" w:hAnsiTheme="minorHAnsi" w:eastAsiaTheme="minorEastAsia" w:cstheme="minorHAnsi"/>
          <w:b w:val="0"/>
          <w:color w:val="auto"/>
          <w:sz w:val="24"/>
          <w:szCs w:val="24"/>
        </w:rPr>
      </w:r>
    </w:p>
    <w:p w14:paraId="037E27F8" w14:textId="21E1A1E4">
      <w:pPr>
        <w:pBdr/>
        <w:spacing w:before="240"/>
        <w:ind/>
        <w:rPr>
          <w:rFonts w:cstheme="minorHAnsi"/>
          <w:b/>
          <w:sz w:val="26"/>
          <w:szCs w:val="26"/>
        </w:rPr>
      </w:pPr>
      <w:r>
        <w:rPr>
          <w:rStyle w:val="1160"/>
          <w:rFonts w:asciiTheme="minorHAnsi" w:hAnsiTheme="minorHAnsi" w:cstheme="minorHAnsi"/>
          <w:i/>
        </w:rPr>
        <w:t xml:space="preserve">Needs Unable to Address</w:t>
      </w:r>
      <w:bookmarkEnd w:id="10"/>
      <w:r/>
      <w:r>
        <w:rPr>
          <w:rFonts w:cstheme="minorHAnsi"/>
          <w:b/>
          <w:sz w:val="26"/>
          <w:szCs w:val="26"/>
        </w:rPr>
      </w:r>
    </w:p>
    <w:p w14:paraId="19D01529" w14:textId="0C5705EE">
      <w:pPr>
        <w:pBdr/>
        <w:spacing/>
        <w:ind/>
        <w:rPr>
          <w:rFonts w:cstheme="minorHAnsi"/>
          <w:i/>
        </w:rPr>
      </w:pPr>
      <w:r>
        <w:rPr>
          <w:rFonts w:cstheme="minorHAnsi"/>
          <w:i/>
        </w:rPr>
        <w:t xml:space="preserve">(See page </w:t>
      </w:r>
      <w:r>
        <w:rPr>
          <w:rFonts w:cstheme="minorHAnsi"/>
          <w:i/>
        </w:rPr>
        <w:t xml:space="preserve">2</w:t>
      </w:r>
      <w:r>
        <w:rPr>
          <w:rFonts w:cstheme="minorHAnsi"/>
          <w:i/>
        </w:rPr>
        <w:t xml:space="preserve">9</w:t>
      </w:r>
      <w:r>
        <w:rPr>
          <w:rFonts w:cstheme="minorHAnsi"/>
          <w:i/>
        </w:rPr>
        <w:t xml:space="preserve"> for additional information)</w:t>
      </w:r>
      <w:r>
        <w:rPr>
          <w:rFonts w:cstheme="minorHAnsi"/>
          <w:i/>
        </w:rPr>
      </w:r>
    </w:p>
    <w:p w14:paraId="32B67D78" w14:textId="34F23A25">
      <w:pPr>
        <w:pStyle w:val="1145"/>
        <w:numPr>
          <w:ilvl w:val="0"/>
          <w:numId w:val="24"/>
        </w:numPr>
        <w:pBdr/>
        <w:spacing w:after="200" w:line="276" w:lineRule="auto"/>
        <w:ind/>
        <w:rPr/>
      </w:pPr>
      <w:r>
        <w:rPr>
          <w:rFonts w:cstheme="minorHAnsi"/>
          <w:bCs/>
          <w:szCs w:val="24"/>
        </w:rPr>
        <w:t xml:space="preserve">Assisted living facility: Participants in the CHNA survey and local public health have identified the need for assisted living services locally.</w:t>
      </w:r>
      <w:r>
        <w:br w:type="page" w:clear="all"/>
      </w:r>
      <w:r/>
    </w:p>
    <w:p w14:paraId="407AB820" w14:textId="40C1DD2D">
      <w:pPr>
        <w:pStyle w:val="1129"/>
        <w:pBdr/>
        <w:spacing/>
        <w:ind/>
        <w:jc w:val="center"/>
        <w:rPr>
          <w:rFonts w:asciiTheme="minorHAnsi" w:hAnsiTheme="minorHAnsi" w:cstheme="minorHAnsi"/>
        </w:rPr>
      </w:pPr>
      <w:r/>
      <w:bookmarkStart w:id="11" w:name="_Toc227308988"/>
      <w:r>
        <w:rPr>
          <w:rFonts w:asciiTheme="minorHAnsi" w:hAnsiTheme="minorHAnsi" w:cstheme="minorHAnsi"/>
        </w:rPr>
        <w:t xml:space="preserve">Executive Summary</w:t>
      </w:r>
      <w:bookmarkEnd w:id="11"/>
      <w:r/>
      <w:r>
        <w:rPr>
          <w:rFonts w:asciiTheme="minorHAnsi" w:hAnsiTheme="minorHAnsi" w:cstheme="minorHAnsi"/>
        </w:rPr>
      </w:r>
    </w:p>
    <w:p w14:paraId="2822D14B" w14:textId="77777777">
      <w:pPr>
        <w:pBdr/>
        <w:spacing/>
        <w:ind/>
        <w:rPr/>
      </w:pPr>
      <w:r/>
      <w:r/>
    </w:p>
    <w:p w14:paraId="574ADEFA" w14:textId="023DD071">
      <w:pPr>
        <w:pBdr/>
        <w:spacing/>
        <w:ind/>
        <w:rPr>
          <w:rFonts w:cstheme="minorHAnsi"/>
        </w:rPr>
      </w:pPr>
      <w:r>
        <w:rPr>
          <w:rFonts w:cstheme="minorHAnsi"/>
        </w:rPr>
        <w:t xml:space="preserve">The following </w:t>
      </w:r>
      <w:r>
        <w:rPr>
          <w:rFonts w:cstheme="minorHAnsi"/>
        </w:rPr>
        <w:t xml:space="preserve">summary briefly </w:t>
      </w:r>
      <w:r>
        <w:rPr>
          <w:rFonts w:cstheme="minorHAnsi"/>
        </w:rPr>
        <w:t xml:space="preserve">represents the goals and corresponding strategies and activities which the facility will execute to address the prioritized health needs (from page </w:t>
      </w:r>
      <w:r>
        <w:rPr>
          <w:rFonts w:cstheme="minorHAnsi"/>
        </w:rPr>
        <w:t xml:space="preserve">1</w:t>
      </w:r>
      <w:r>
        <w:rPr>
          <w:rFonts w:cstheme="minorHAnsi"/>
        </w:rPr>
        <w:t xml:space="preserve">2</w:t>
      </w:r>
      <w:r>
        <w:rPr>
          <w:rFonts w:cstheme="minorHAnsi"/>
        </w:rPr>
        <w:t xml:space="preserve">). For more details regarding the approach and performance measures for each goal, please refer to the Implementation Plan Grid section, which begins on page </w:t>
      </w:r>
      <w:r>
        <w:rPr>
          <w:rFonts w:cstheme="minorHAnsi"/>
        </w:rPr>
        <w:t xml:space="preserve">1</w:t>
      </w:r>
      <w:r>
        <w:rPr>
          <w:rFonts w:cstheme="minorHAnsi"/>
        </w:rPr>
        <w:t xml:space="preserve">7</w:t>
      </w:r>
      <w:r>
        <w:rPr>
          <w:rFonts w:cstheme="minorHAnsi"/>
        </w:rPr>
        <w:t xml:space="preserve">.</w:t>
      </w:r>
      <w:r>
        <w:rPr>
          <w:rFonts w:cstheme="minorHAnsi"/>
        </w:rPr>
      </w:r>
    </w:p>
    <w:p w14:paraId="298AB7F2" w14:textId="77777777">
      <w:pPr>
        <w:pBdr/>
        <w:spacing/>
        <w:ind/>
        <w:rPr>
          <w:rFonts w:cstheme="minorHAnsi"/>
        </w:rPr>
      </w:pPr>
      <w:r>
        <w:rPr>
          <w:rFonts w:cstheme="minorHAnsi"/>
        </w:rPr>
      </w:r>
      <w:r>
        <w:rPr>
          <w:rFonts w:cstheme="minorHAnsi"/>
        </w:rPr>
      </w:r>
    </w:p>
    <w:p w14:paraId="4E2AD59C" w14:textId="77777777">
      <w:pPr>
        <w:pBdr/>
        <w:spacing/>
        <w:ind/>
        <w:rPr>
          <w:rFonts w:cstheme="minorHAnsi"/>
        </w:rPr>
      </w:pPr>
      <w:r>
        <w:rPr>
          <w:rFonts w:cstheme="minorHAnsi"/>
          <w:b/>
          <w:szCs w:val="24"/>
          <w:u w:val="single"/>
          <w:lang w:bidi="ar-SA"/>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margin">
                  <wp:align>right</wp:align>
                </wp:positionH>
                <wp:positionV relativeFrom="paragraph">
                  <wp:posOffset>104775</wp:posOffset>
                </wp:positionV>
                <wp:extent cx="8201025" cy="475488"/>
                <wp:effectExtent l="12700" t="12700" r="15875" b="7620"/>
                <wp:wrapNone/>
                <wp:docPr id="2" name="Text Box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201025" cy="475488"/>
                        </a:xfrm>
                        <a:prstGeom prst="roundRect">
                          <a:avLst>
                            <a:gd name="adj" fmla="val 16667"/>
                          </a:avLst>
                        </a:prstGeom>
                        <a:solidFill>
                          <a:schemeClr val="accent3">
                            <a:lumMod val="60000"/>
                            <a:lumOff val="40000"/>
                          </a:schemeClr>
                        </a:solidFill>
                        <a:ln w="19050">
                          <a:solidFill>
                            <a:schemeClr val="accent3"/>
                          </a:solidFill>
                          <a:miter lim="800000"/>
                          <a:headEnd/>
                          <a:tailEnd/>
                        </a:ln>
                        <a:effectLst/>
                      </wps:spPr>
                      <wps:txbx>
                        <w:txbxContent>
                          <w:p w14:paraId="05C2D1BB" w14:textId="2DA5212A">
                            <w:pPr>
                              <w:pBdr/>
                              <w:spacing/>
                              <w:ind w:hanging="900" w:left="900"/>
                              <w:rPr>
                                <w:rFonts w:cstheme="minorHAnsi"/>
                                <w:sz w:val="28"/>
                                <w:szCs w:val="28"/>
                              </w:rPr>
                            </w:pPr>
                            <w:r>
                              <w:rPr>
                                <w:rFonts w:cstheme="minorHAnsi"/>
                                <w:b/>
                                <w:sz w:val="28"/>
                                <w:szCs w:val="28"/>
                              </w:rPr>
                              <w:t xml:space="preserve">Goal 1: </w:t>
                            </w:r>
                            <w:r>
                              <w:rPr>
                                <w:rFonts w:cstheme="minorHAnsi"/>
                                <w:b/>
                                <w:sz w:val="28"/>
                                <w:szCs w:val="28"/>
                              </w:rPr>
                              <w:t xml:space="preserve">Improve access to health resources and services in Roosevelt County. </w:t>
                            </w:r>
                            <w:r>
                              <w:rPr>
                                <w:rFonts w:cstheme="minorHAnsi"/>
                                <w:sz w:val="28"/>
                                <w:szCs w:val="28"/>
                              </w:rP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658240;o:allowoverlap:true;o:allowincell:true;mso-position-horizontal-relative:margin;mso-position-horizontal:right;mso-position-vertical-relative:text;margin-top:8.25pt;mso-position-vertical:absolute;width:645.75pt;height:37.44pt;mso-wrap-distance-left:9.00pt;mso-wrap-distance-top:0.00pt;mso-wrap-distance-right:9.00pt;mso-wrap-distance-bottom:0.00pt;v-text-anchor:middle;visibility:visible;" fillcolor="#E0B688" strokecolor="#CE8D3E" strokeweight="1.50pt">
                <v:textbox inset="0,0,0,0">
                  <w:txbxContent>
                    <w:p w14:paraId="05C2D1BB" w14:textId="2DA5212A">
                      <w:pPr>
                        <w:pBdr/>
                        <w:spacing/>
                        <w:ind w:hanging="900" w:left="900"/>
                        <w:rPr>
                          <w:rFonts w:cstheme="minorHAnsi"/>
                          <w:sz w:val="28"/>
                          <w:szCs w:val="28"/>
                        </w:rPr>
                      </w:pPr>
                      <w:r>
                        <w:rPr>
                          <w:rFonts w:cstheme="minorHAnsi"/>
                          <w:b/>
                          <w:sz w:val="28"/>
                          <w:szCs w:val="28"/>
                        </w:rPr>
                        <w:t xml:space="preserve">Goal 1: </w:t>
                      </w:r>
                      <w:r>
                        <w:rPr>
                          <w:rFonts w:cstheme="minorHAnsi"/>
                          <w:b/>
                          <w:sz w:val="28"/>
                          <w:szCs w:val="28"/>
                        </w:rPr>
                        <w:t xml:space="preserve">Improve access to health resources and services in Roosevelt County. </w:t>
                      </w:r>
                      <w:r>
                        <w:rPr>
                          <w:rFonts w:cstheme="minorHAnsi"/>
                          <w:sz w:val="28"/>
                          <w:szCs w:val="28"/>
                        </w:rPr>
                      </w:r>
                    </w:p>
                  </w:txbxContent>
                </v:textbox>
              </v:shape>
            </w:pict>
          </mc:Fallback>
        </mc:AlternateContent>
      </w:r>
      <w:r>
        <w:rPr>
          <w:rFonts w:cstheme="minorHAnsi"/>
        </w:rPr>
      </w:r>
    </w:p>
    <w:p w14:paraId="5C519511" w14:textId="77777777">
      <w:pPr>
        <w:pBdr/>
        <w:spacing/>
        <w:ind/>
        <w:rPr>
          <w:rFonts w:cstheme="minorHAnsi"/>
          <w:b/>
          <w:szCs w:val="24"/>
          <w:u w:val="single"/>
        </w:rPr>
      </w:pPr>
      <w:r>
        <w:rPr>
          <w:rFonts w:cstheme="minorHAnsi"/>
          <w:b/>
          <w:szCs w:val="24"/>
          <w:u w:val="single"/>
        </w:rPr>
      </w:r>
      <w:r>
        <w:rPr>
          <w:rFonts w:cstheme="minorHAnsi"/>
          <w:b/>
          <w:szCs w:val="24"/>
          <w:u w:val="single"/>
        </w:rPr>
      </w:r>
    </w:p>
    <w:p w14:paraId="40D08D62" w14:textId="77777777">
      <w:pPr>
        <w:pBdr/>
        <w:spacing/>
        <w:ind/>
        <w:rPr>
          <w:rFonts w:cstheme="minorHAnsi"/>
          <w:b/>
          <w:szCs w:val="24"/>
          <w:u w:val="single"/>
        </w:rPr>
      </w:pPr>
      <w:r>
        <w:rPr>
          <w:rFonts w:cstheme="minorHAnsi"/>
          <w:b/>
          <w:szCs w:val="24"/>
          <w:u w:val="single"/>
        </w:rPr>
      </w:r>
      <w:r>
        <w:rPr>
          <w:rFonts w:cstheme="minorHAnsi"/>
          <w:b/>
          <w:szCs w:val="24"/>
          <w:u w:val="single"/>
        </w:rPr>
      </w:r>
    </w:p>
    <w:tbl>
      <w:tblPr>
        <w:tblStyle w:val="1138"/>
        <w:tblW w:w="13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pPr w:horzAnchor="margin" w:tblpXSpec="left" w:vertAnchor="text" w:tblpY="272" w:leftFromText="180" w:topFromText="0" w:rightFromText="180" w:bottomFromText="0"/>
        <w:tblLook w:val="04A0" w:firstRow="1" w:lastRow="0" w:firstColumn="1" w:lastColumn="0" w:noHBand="0" w:noVBand="1"/>
      </w:tblPr>
      <w:tblGrid>
        <w:gridCol w:w="1104"/>
        <w:gridCol w:w="11861"/>
        <w:gridCol w:w="265"/>
      </w:tblGrid>
      <w:tr>
        <w:trPr>
          <w:trHeight w:val="378"/>
        </w:trPr>
        <w:tc>
          <w:tcPr>
            <w:gridSpan w:val="3"/>
            <w:tcBorders/>
            <w:tcW w:w="13230" w:type="dxa"/>
            <w:vAlign w:val="center"/>
          </w:tcPr>
          <w:p w14:paraId="56BEC120" w14:textId="54CD59B2">
            <w:pPr>
              <w:pBdr/>
              <w:spacing/>
              <w:ind/>
              <w:rPr>
                <w:rFonts w:cstheme="minorHAnsi"/>
                <w:b/>
                <w:szCs w:val="24"/>
              </w:rPr>
            </w:pPr>
            <w:r>
              <w:rPr>
                <w:rFonts w:cstheme="minorHAnsi"/>
                <w:b/>
                <w:szCs w:val="24"/>
              </w:rPr>
              <w:t xml:space="preserve">Strategy 1.1: Work to address gaps in access to health resources and services locally.</w:t>
            </w:r>
            <w:r>
              <w:rPr>
                <w:rFonts w:cstheme="minorHAnsi"/>
                <w:bCs/>
                <w:szCs w:val="24"/>
              </w:rPr>
              <w:t xml:space="preserve"> </w:t>
            </w:r>
            <w:r>
              <w:rPr>
                <w:rFonts w:cstheme="minorHAnsi"/>
                <w:b/>
                <w:szCs w:val="24"/>
              </w:rPr>
            </w:r>
          </w:p>
        </w:tc>
      </w:tr>
      <w:tr>
        <w:trPr>
          <w:gridAfter w:val="1"/>
        </w:trPr>
        <w:tc>
          <w:tcPr>
            <w:tcBorders/>
            <w:tcW w:w="1102" w:type="dxa"/>
          </w:tcPr>
          <w:p w14:paraId="00C08474"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1.1.1.</w:t>
            </w:r>
            <w:r>
              <w:rPr>
                <w:rFonts w:cstheme="minorHAnsi"/>
                <w:b/>
                <w:color w:val="000000" w:themeColor="text1"/>
                <w:szCs w:val="24"/>
              </w:rPr>
            </w:r>
          </w:p>
        </w:tc>
        <w:tc>
          <w:tcPr>
            <w:tcBorders/>
            <w:tcW w:w="11863" w:type="dxa"/>
            <w:vAlign w:val="center"/>
          </w:tcPr>
          <w:p w14:paraId="74A61740" w14:textId="77777777">
            <w:pPr>
              <w:pBdr/>
              <w:spacing/>
              <w:ind w:left="-15"/>
              <w:rPr>
                <w:rFonts w:cstheme="minorHAnsi"/>
                <w:bCs/>
                <w:szCs w:val="24"/>
              </w:rPr>
            </w:pPr>
            <w:r>
              <w:rPr>
                <w:rFonts w:cstheme="minorHAnsi"/>
                <w:szCs w:val="24"/>
              </w:rPr>
              <w:t xml:space="preserve">Coordinate with tribal </w:t>
            </w:r>
            <w:r>
              <w:rPr>
                <w:rFonts w:cstheme="minorHAnsi"/>
                <w:szCs w:val="24"/>
              </w:rPr>
              <w:t xml:space="preserve">TShip</w:t>
            </w:r>
            <w:r>
              <w:rPr>
                <w:rFonts w:cstheme="minorHAnsi"/>
                <w:szCs w:val="24"/>
              </w:rPr>
              <w:t xml:space="preserve"> program to increase access to insurance and Medicaid coverage through sharing space and software needed for completing paperwork.</w:t>
            </w:r>
            <w:r>
              <w:rPr>
                <w:rFonts w:cstheme="minorHAnsi"/>
                <w:bCs/>
                <w:szCs w:val="24"/>
              </w:rPr>
            </w:r>
          </w:p>
        </w:tc>
      </w:tr>
      <w:tr>
        <w:trPr>
          <w:gridAfter w:val="1"/>
        </w:trPr>
        <w:tc>
          <w:tcPr>
            <w:tcBorders/>
            <w:tcW w:w="1102" w:type="dxa"/>
          </w:tcPr>
          <w:p w14:paraId="2A3D1392"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1.1.2.</w:t>
            </w:r>
            <w:r>
              <w:rPr>
                <w:rFonts w:cstheme="minorHAnsi"/>
                <w:b/>
                <w:color w:val="000000" w:themeColor="text1"/>
                <w:szCs w:val="24"/>
              </w:rPr>
            </w:r>
          </w:p>
        </w:tc>
        <w:tc>
          <w:tcPr>
            <w:tcBorders/>
            <w:tcW w:w="11863" w:type="dxa"/>
            <w:vAlign w:val="center"/>
          </w:tcPr>
          <w:p w14:paraId="04248CAD" w14:textId="77777777">
            <w:pPr>
              <w:pBdr/>
              <w:spacing/>
              <w:ind/>
              <w:rPr>
                <w:rFonts w:cstheme="minorHAnsi"/>
                <w:bCs/>
                <w:szCs w:val="24"/>
              </w:rPr>
            </w:pPr>
            <w:r>
              <w:rPr>
                <w:rFonts w:cstheme="minorHAnsi"/>
                <w:szCs w:val="24"/>
              </w:rPr>
              <w:t xml:space="preserve">Continue to utilize NEMHS apartments as senior living units, as is feasible with hospital staffing needs.</w:t>
            </w:r>
            <w:r>
              <w:rPr>
                <w:rFonts w:cstheme="minorHAnsi"/>
                <w:bCs/>
                <w:szCs w:val="24"/>
              </w:rPr>
            </w:r>
          </w:p>
        </w:tc>
      </w:tr>
      <w:tr>
        <w:trPr>
          <w:gridAfter w:val="1"/>
        </w:trPr>
        <w:tc>
          <w:tcPr>
            <w:tcBorders/>
            <w:tcW w:w="1102" w:type="dxa"/>
          </w:tcPr>
          <w:p w14:paraId="6622B479"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1.1.3.</w:t>
            </w:r>
            <w:r>
              <w:rPr>
                <w:rFonts w:cstheme="minorHAnsi"/>
                <w:b/>
                <w:color w:val="000000" w:themeColor="text1"/>
                <w:szCs w:val="24"/>
              </w:rPr>
            </w:r>
          </w:p>
        </w:tc>
        <w:tc>
          <w:tcPr>
            <w:tcBorders/>
            <w:tcW w:w="11863" w:type="dxa"/>
            <w:vAlign w:val="center"/>
          </w:tcPr>
          <w:p w14:paraId="5C72839C" w14:textId="77777777">
            <w:pPr>
              <w:pBdr/>
              <w:spacing/>
              <w:ind/>
              <w:rPr>
                <w:rFonts w:cstheme="minorHAnsi"/>
                <w:bCs/>
                <w:szCs w:val="24"/>
              </w:rPr>
            </w:pPr>
            <w:r>
              <w:rPr>
                <w:rFonts w:cstheme="minorHAnsi"/>
                <w:szCs w:val="24"/>
              </w:rPr>
              <w:t xml:space="preserve">Explore how to schedule and stagger providers and other staff to make appointments more available and wait times less lengthy.</w:t>
            </w:r>
            <w:r>
              <w:rPr>
                <w:rFonts w:cstheme="minorHAnsi"/>
                <w:bCs/>
                <w:szCs w:val="24"/>
              </w:rPr>
            </w:r>
          </w:p>
        </w:tc>
      </w:tr>
      <w:tr>
        <w:trPr>
          <w:gridAfter w:val="1"/>
        </w:trPr>
        <w:tc>
          <w:tcPr>
            <w:tcBorders/>
            <w:tcW w:w="1102" w:type="dxa"/>
          </w:tcPr>
          <w:p w14:paraId="390917C9"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1.1.4.</w:t>
            </w:r>
            <w:r>
              <w:rPr>
                <w:rFonts w:cstheme="minorHAnsi"/>
                <w:b/>
                <w:color w:val="000000" w:themeColor="text1"/>
                <w:szCs w:val="24"/>
              </w:rPr>
            </w:r>
          </w:p>
        </w:tc>
        <w:tc>
          <w:tcPr>
            <w:tcBorders/>
            <w:tcW w:w="11863" w:type="dxa"/>
            <w:vAlign w:val="center"/>
          </w:tcPr>
          <w:p w14:paraId="2CE23B82" w14:textId="77777777">
            <w:pPr>
              <w:pBdr/>
              <w:spacing/>
              <w:ind/>
              <w:rPr>
                <w:rFonts w:cstheme="minorHAnsi"/>
                <w:bCs/>
                <w:szCs w:val="24"/>
              </w:rPr>
            </w:pPr>
            <w:r>
              <w:rPr>
                <w:rFonts w:cstheme="minorHAnsi"/>
                <w:szCs w:val="24"/>
              </w:rPr>
              <w:t xml:space="preserve">Explore feasibility of expanding clinic hours to bolster appointment availability and lessen wait times. </w:t>
            </w:r>
            <w:r>
              <w:rPr>
                <w:rFonts w:cstheme="minorHAnsi"/>
                <w:bCs/>
                <w:szCs w:val="24"/>
              </w:rPr>
            </w:r>
          </w:p>
        </w:tc>
      </w:tr>
      <w:tr>
        <w:trPr>
          <w:trHeight w:val="177"/>
        </w:trPr>
        <w:tc>
          <w:tcPr>
            <w:gridSpan w:val="3"/>
            <w:tcBorders/>
            <w:tcW w:w="13230" w:type="dxa"/>
          </w:tcPr>
          <w:p w14:paraId="09316225" w14:textId="77777777">
            <w:pPr>
              <w:pBdr/>
              <w:spacing/>
              <w:ind/>
              <w:rPr>
                <w:rFonts w:cstheme="minorHAnsi"/>
                <w:bCs/>
                <w:szCs w:val="24"/>
              </w:rPr>
            </w:pPr>
            <w:r>
              <w:rPr>
                <w:rFonts w:cstheme="minorHAnsi"/>
                <w:bCs/>
                <w:szCs w:val="24"/>
              </w:rPr>
            </w:r>
            <w:r>
              <w:rPr>
                <w:rFonts w:cstheme="minorHAnsi"/>
                <w:bCs/>
                <w:szCs w:val="24"/>
              </w:rPr>
            </w:r>
          </w:p>
        </w:tc>
      </w:tr>
      <w:tr>
        <w:trPr/>
        <w:tc>
          <w:tcPr>
            <w:gridSpan w:val="3"/>
            <w:tcBorders/>
            <w:tcW w:w="13230" w:type="dxa"/>
            <w:vAlign w:val="center"/>
          </w:tcPr>
          <w:p w14:paraId="7426DE61" w14:textId="4442E163">
            <w:pPr>
              <w:pBdr/>
              <w:spacing/>
              <w:ind/>
              <w:rPr>
                <w:rFonts w:cstheme="minorHAnsi"/>
                <w:bCs/>
                <w:szCs w:val="24"/>
              </w:rPr>
            </w:pPr>
            <w:r>
              <w:rPr>
                <w:rFonts w:cstheme="minorHAnsi"/>
                <w:b/>
                <w:szCs w:val="24"/>
              </w:rPr>
              <w:t xml:space="preserve">Strategy 1.2: Explore options around transportation services to augment care provided and received.</w:t>
            </w:r>
            <w:r>
              <w:rPr>
                <w:rFonts w:cstheme="minorHAnsi"/>
                <w:bCs/>
                <w:szCs w:val="24"/>
              </w:rPr>
              <w:t xml:space="preserve"> </w:t>
            </w:r>
            <w:r>
              <w:rPr>
                <w:rFonts w:cstheme="minorHAnsi"/>
                <w:bCs/>
                <w:szCs w:val="24"/>
              </w:rPr>
            </w:r>
          </w:p>
        </w:tc>
      </w:tr>
      <w:tr>
        <w:trPr>
          <w:gridAfter w:val="1"/>
        </w:trPr>
        <w:tc>
          <w:tcPr>
            <w:tcBorders/>
            <w:tcW w:w="1102" w:type="dxa"/>
          </w:tcPr>
          <w:p w14:paraId="1204069C"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1.2.1.</w:t>
            </w:r>
            <w:r>
              <w:rPr>
                <w:rFonts w:cstheme="minorHAnsi"/>
                <w:b/>
                <w:color w:val="000000" w:themeColor="text1"/>
                <w:szCs w:val="24"/>
              </w:rPr>
            </w:r>
          </w:p>
        </w:tc>
        <w:tc>
          <w:tcPr>
            <w:tcBorders/>
            <w:tcW w:w="11863" w:type="dxa"/>
            <w:vAlign w:val="center"/>
          </w:tcPr>
          <w:p w14:paraId="3F7E4A51" w14:textId="77777777">
            <w:pPr>
              <w:pBdr/>
              <w:spacing/>
              <w:ind/>
              <w:rPr>
                <w:rFonts w:cstheme="minorHAnsi"/>
                <w:szCs w:val="24"/>
              </w:rPr>
            </w:pPr>
            <w:r>
              <w:rPr>
                <w:rFonts w:cstheme="minorHAnsi"/>
                <w:szCs w:val="24"/>
              </w:rPr>
              <w:t xml:space="preserve">Examine what care services residents are having to travel for and explore feasibility of bringing those services to Roosevelt County, either through increasing providers, increasing training, or collaborating with visiting specialists.</w:t>
            </w:r>
            <w:r>
              <w:rPr>
                <w:rFonts w:cstheme="minorHAnsi"/>
                <w:szCs w:val="24"/>
              </w:rPr>
            </w:r>
          </w:p>
        </w:tc>
      </w:tr>
      <w:tr>
        <w:trPr>
          <w:gridAfter w:val="1"/>
        </w:trPr>
        <w:tc>
          <w:tcPr>
            <w:tcBorders/>
            <w:tcW w:w="1102" w:type="dxa"/>
          </w:tcPr>
          <w:p w14:paraId="7321A0CA"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1.2.2.</w:t>
            </w:r>
            <w:r>
              <w:rPr>
                <w:rFonts w:cstheme="minorHAnsi"/>
                <w:b/>
                <w:color w:val="000000" w:themeColor="text1"/>
                <w:szCs w:val="24"/>
              </w:rPr>
            </w:r>
          </w:p>
        </w:tc>
        <w:tc>
          <w:tcPr>
            <w:tcBorders/>
            <w:tcW w:w="11863" w:type="dxa"/>
            <w:vAlign w:val="center"/>
          </w:tcPr>
          <w:p w14:paraId="6C225C71" w14:textId="77777777">
            <w:pPr>
              <w:pBdr/>
              <w:spacing/>
              <w:ind w:left="-15"/>
              <w:rPr>
                <w:rFonts w:cstheme="minorHAnsi"/>
                <w:bCs/>
                <w:szCs w:val="24"/>
              </w:rPr>
            </w:pPr>
            <w:r>
              <w:rPr>
                <w:rFonts w:cstheme="minorHAnsi"/>
                <w:szCs w:val="24"/>
              </w:rPr>
              <w:t xml:space="preserve">Explore other options for keeping care local and regional (e.g. in Glasgow, Sidney, Williston).</w:t>
            </w:r>
            <w:r>
              <w:rPr>
                <w:rFonts w:cstheme="minorHAnsi"/>
                <w:bCs/>
                <w:szCs w:val="24"/>
              </w:rPr>
            </w:r>
          </w:p>
        </w:tc>
      </w:tr>
      <w:tr>
        <w:trPr>
          <w:gridAfter w:val="1"/>
        </w:trPr>
        <w:tc>
          <w:tcPr>
            <w:tcBorders/>
            <w:tcW w:w="1102" w:type="dxa"/>
          </w:tcPr>
          <w:p w14:paraId="4D3476EE"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1.2.3.</w:t>
            </w:r>
            <w:r>
              <w:rPr>
                <w:rFonts w:cstheme="minorHAnsi"/>
                <w:b/>
                <w:color w:val="000000" w:themeColor="text1"/>
                <w:szCs w:val="24"/>
              </w:rPr>
            </w:r>
          </w:p>
        </w:tc>
        <w:tc>
          <w:tcPr>
            <w:tcBorders/>
            <w:tcW w:w="11863" w:type="dxa"/>
            <w:vAlign w:val="center"/>
          </w:tcPr>
          <w:p w14:paraId="70C378A0" w14:textId="77777777">
            <w:pPr>
              <w:pBdr/>
              <w:spacing/>
              <w:ind w:left="-15"/>
              <w:rPr>
                <w:rFonts w:cstheme="minorHAnsi"/>
                <w:bCs/>
                <w:szCs w:val="24"/>
              </w:rPr>
            </w:pPr>
            <w:r>
              <w:rPr>
                <w:rFonts w:cstheme="minorHAnsi"/>
                <w:szCs w:val="24"/>
              </w:rPr>
              <w:t xml:space="preserve">Examine potential to support Faith Home in acquiring new transportation vehicle.</w:t>
            </w:r>
            <w:r>
              <w:rPr>
                <w:rFonts w:cstheme="minorHAnsi"/>
                <w:bCs/>
                <w:szCs w:val="24"/>
              </w:rPr>
            </w:r>
          </w:p>
        </w:tc>
      </w:tr>
      <w:tr>
        <w:trPr>
          <w:gridAfter w:val="1"/>
        </w:trPr>
        <w:tc>
          <w:tcPr>
            <w:tcBorders/>
            <w:tcW w:w="1102" w:type="dxa"/>
          </w:tcPr>
          <w:p w14:paraId="5539D7BF"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1.2.4.</w:t>
            </w:r>
            <w:r>
              <w:rPr>
                <w:rFonts w:cstheme="minorHAnsi"/>
                <w:b/>
                <w:color w:val="000000" w:themeColor="text1"/>
                <w:szCs w:val="24"/>
              </w:rPr>
            </w:r>
          </w:p>
        </w:tc>
        <w:tc>
          <w:tcPr>
            <w:tcBorders/>
            <w:tcW w:w="11863" w:type="dxa"/>
            <w:vAlign w:val="center"/>
          </w:tcPr>
          <w:p w14:paraId="2716AB88" w14:textId="77777777">
            <w:pPr>
              <w:pBdr/>
              <w:spacing/>
              <w:ind w:left="-15"/>
              <w:rPr>
                <w:rFonts w:cstheme="minorHAnsi"/>
                <w:szCs w:val="24"/>
              </w:rPr>
            </w:pPr>
            <w:r>
              <w:rPr>
                <w:rFonts w:cstheme="minorHAnsi"/>
                <w:szCs w:val="24"/>
              </w:rPr>
              <w:t xml:space="preserve">Continue to promote and coordinate with tribal and veteran transport services. </w:t>
            </w:r>
            <w:r>
              <w:rPr>
                <w:rFonts w:cstheme="minorHAnsi"/>
                <w:szCs w:val="24"/>
              </w:rPr>
            </w:r>
          </w:p>
        </w:tc>
      </w:tr>
      <w:tr>
        <w:trPr/>
        <w:tc>
          <w:tcPr>
            <w:gridSpan w:val="3"/>
            <w:tcBorders/>
            <w:tcW w:w="13230" w:type="dxa"/>
            <w:vAlign w:val="center"/>
          </w:tcPr>
          <w:p w14:paraId="62CE6468" w14:textId="77777777">
            <w:pPr>
              <w:pBdr/>
              <w:spacing/>
              <w:ind/>
              <w:rPr>
                <w:rFonts w:cstheme="minorHAnsi"/>
                <w:b/>
                <w:szCs w:val="24"/>
              </w:rPr>
            </w:pPr>
            <w:r>
              <w:rPr>
                <w:rFonts w:cstheme="minorHAnsi"/>
                <w:b/>
                <w:szCs w:val="24"/>
              </w:rPr>
            </w:r>
            <w:r>
              <w:rPr>
                <w:rFonts w:cstheme="minorHAnsi"/>
                <w:b/>
                <w:szCs w:val="24"/>
              </w:rPr>
            </w:r>
          </w:p>
          <w:p w14:paraId="22EEDFCC" w14:textId="0D59ACB2">
            <w:pPr>
              <w:pBdr/>
              <w:spacing/>
              <w:ind/>
              <w:rPr>
                <w:rFonts w:cstheme="minorHAnsi"/>
                <w:bCs/>
                <w:szCs w:val="24"/>
              </w:rPr>
            </w:pPr>
            <w:r>
              <w:rPr>
                <w:rFonts w:cstheme="minorHAnsi"/>
                <w:b/>
                <w:szCs w:val="24"/>
              </w:rPr>
              <w:t xml:space="preserve">Strategy 1.3: Explore if RHTP funding opportunities can be utilized to increase access to care locally.</w:t>
            </w:r>
            <w:r>
              <w:rPr>
                <w:rFonts w:cstheme="minorHAnsi"/>
                <w:bCs/>
                <w:szCs w:val="24"/>
              </w:rPr>
              <w:t xml:space="preserve"> </w:t>
            </w:r>
            <w:r>
              <w:rPr>
                <w:rFonts w:cstheme="minorHAnsi"/>
                <w:bCs/>
                <w:szCs w:val="24"/>
              </w:rPr>
            </w:r>
          </w:p>
        </w:tc>
      </w:tr>
      <w:tr>
        <w:trPr>
          <w:gridAfter w:val="1"/>
        </w:trPr>
        <w:tc>
          <w:tcPr>
            <w:tcBorders/>
            <w:tcW w:w="1102" w:type="dxa"/>
          </w:tcPr>
          <w:p w14:paraId="0FC50E9B"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1.3.1.</w:t>
            </w:r>
            <w:r>
              <w:rPr>
                <w:rFonts w:cstheme="minorHAnsi"/>
                <w:b/>
                <w:color w:val="000000" w:themeColor="text1"/>
                <w:szCs w:val="24"/>
              </w:rPr>
            </w:r>
          </w:p>
        </w:tc>
        <w:tc>
          <w:tcPr>
            <w:tcBorders/>
            <w:tcW w:w="11863" w:type="dxa"/>
            <w:vAlign w:val="center"/>
          </w:tcPr>
          <w:p w14:paraId="15CE11F3" w14:textId="77777777">
            <w:pPr>
              <w:pBdr/>
              <w:spacing/>
              <w:ind/>
              <w:rPr>
                <w:rFonts w:cstheme="minorHAnsi"/>
                <w:szCs w:val="24"/>
              </w:rPr>
            </w:pPr>
            <w:r>
              <w:rPr>
                <w:rFonts w:cstheme="minorHAnsi"/>
                <w:szCs w:val="24"/>
              </w:rPr>
              <w:t xml:space="preserve">Monitor funding calls with an eye towards fixing NEMHS network, bringing on a general surgeon, and improved PT services to increase both ease and access to care locally. </w:t>
            </w:r>
            <w:r>
              <w:rPr>
                <w:rFonts w:cstheme="minorHAnsi"/>
                <w:szCs w:val="24"/>
              </w:rPr>
            </w:r>
          </w:p>
        </w:tc>
      </w:tr>
      <w:tr>
        <w:trPr>
          <w:gridAfter w:val="1"/>
        </w:trPr>
        <w:tc>
          <w:tcPr>
            <w:tcBorders/>
            <w:tcW w:w="1102" w:type="dxa"/>
          </w:tcPr>
          <w:p w14:paraId="37541807"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1.3.2.</w:t>
            </w:r>
            <w:r>
              <w:rPr>
                <w:rFonts w:cstheme="minorHAnsi"/>
                <w:b/>
                <w:color w:val="000000" w:themeColor="text1"/>
                <w:szCs w:val="24"/>
              </w:rPr>
            </w:r>
          </w:p>
        </w:tc>
        <w:tc>
          <w:tcPr>
            <w:tcBorders/>
            <w:tcW w:w="11863" w:type="dxa"/>
            <w:vAlign w:val="center"/>
          </w:tcPr>
          <w:p w14:paraId="302A8CDA" w14:textId="77777777">
            <w:pPr>
              <w:pBdr/>
              <w:spacing/>
              <w:ind/>
              <w:rPr>
                <w:rFonts w:cstheme="minorHAnsi"/>
                <w:szCs w:val="24"/>
              </w:rPr>
            </w:pPr>
            <w:r>
              <w:rPr>
                <w:rFonts w:cstheme="minorHAnsi"/>
                <w:szCs w:val="24"/>
              </w:rPr>
              <w:t xml:space="preserve">Continue to examine if and how local needs fit into RHTP Objectives. </w:t>
            </w:r>
            <w:r>
              <w:rPr>
                <w:rFonts w:cstheme="minorHAnsi"/>
                <w:szCs w:val="24"/>
              </w:rPr>
            </w:r>
          </w:p>
        </w:tc>
      </w:tr>
      <w:tr>
        <w:trPr/>
        <w:tc>
          <w:tcPr>
            <w:gridSpan w:val="3"/>
            <w:tcBorders/>
            <w:tcW w:w="13230" w:type="dxa"/>
          </w:tcPr>
          <w:p w14:paraId="66FA7767" w14:textId="77777777">
            <w:pPr>
              <w:pBdr/>
              <w:spacing/>
              <w:ind/>
              <w:rPr>
                <w:rFonts w:cstheme="minorHAnsi"/>
                <w:szCs w:val="24"/>
              </w:rPr>
            </w:pPr>
            <w:r>
              <w:rPr>
                <w:rFonts w:cstheme="minorHAnsi"/>
                <w:szCs w:val="24"/>
              </w:rPr>
            </w:r>
            <w:r>
              <w:rPr>
                <w:rFonts w:cstheme="minorHAnsi"/>
                <w:szCs w:val="24"/>
              </w:rPr>
            </w:r>
          </w:p>
        </w:tc>
      </w:tr>
    </w:tbl>
    <w:p w14:paraId="7ECD3BE3" w14:textId="21DFC5E5">
      <w:pPr>
        <w:pBdr/>
        <w:spacing w:line="259" w:lineRule="auto"/>
        <w:ind/>
        <w:rPr/>
      </w:pPr>
      <w:r>
        <w:rPr>
          <w:rFonts w:cstheme="minorHAnsi"/>
          <w:b/>
          <w:szCs w:val="24"/>
          <w:u w:val="single"/>
          <w:lang w:bidi="ar-SA"/>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margin">
                  <wp:posOffset>0</wp:posOffset>
                </wp:positionH>
                <wp:positionV relativeFrom="paragraph">
                  <wp:posOffset>0</wp:posOffset>
                </wp:positionV>
                <wp:extent cx="8201025" cy="475488"/>
                <wp:effectExtent l="12700" t="12700" r="15875" b="7620"/>
                <wp:wrapNone/>
                <wp:docPr id="3" name="Text Box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201025" cy="475488"/>
                        </a:xfrm>
                        <a:prstGeom prst="roundRect">
                          <a:avLst>
                            <a:gd name="adj" fmla="val 16667"/>
                          </a:avLst>
                        </a:prstGeom>
                        <a:solidFill>
                          <a:schemeClr val="accent5">
                            <a:lumMod val="40000"/>
                            <a:lumOff val="60000"/>
                          </a:schemeClr>
                        </a:solidFill>
                        <a:ln w="19050">
                          <a:solidFill>
                            <a:schemeClr val="accent5"/>
                          </a:solidFill>
                          <a:miter lim="800000"/>
                          <a:headEnd/>
                          <a:tailEnd/>
                        </a:ln>
                        <a:effectLst/>
                      </wps:spPr>
                      <wps:txbx>
                        <w:txbxContent>
                          <w:p w14:paraId="6E21BF46" w14:textId="5CAD3CB5">
                            <w:pPr>
                              <w:pBdr/>
                              <w:spacing/>
                              <w:ind w:hanging="900" w:left="900"/>
                              <w:rPr>
                                <w:rFonts w:cstheme="minorHAnsi"/>
                                <w:sz w:val="28"/>
                                <w:szCs w:val="28"/>
                              </w:rPr>
                            </w:pPr>
                            <w:r>
                              <w:rPr>
                                <w:rFonts w:cstheme="minorHAnsi"/>
                                <w:b/>
                                <w:sz w:val="28"/>
                                <w:szCs w:val="28"/>
                              </w:rPr>
                              <w:t xml:space="preserve">Goal 2: </w:t>
                            </w:r>
                            <w:r>
                              <w:rPr>
                                <w:rFonts w:cstheme="minorHAnsi"/>
                                <w:b/>
                                <w:sz w:val="28"/>
                                <w:szCs w:val="28"/>
                              </w:rPr>
                              <w:t xml:space="preserve">Improve specialty care options in Roosevelt County. </w:t>
                            </w:r>
                            <w:r>
                              <w:rPr>
                                <w:rFonts w:cstheme="minorHAnsi"/>
                                <w:sz w:val="28"/>
                                <w:szCs w:val="28"/>
                              </w:rP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58241;o:allowoverlap:true;o:allowincell:true;mso-position-horizontal-relative:margin;margin-left:0.00pt;mso-position-horizontal:absolute;mso-position-vertical-relative:text;margin-top:0.00pt;mso-position-vertical:absolute;width:645.75pt;height:37.44pt;mso-wrap-distance-left:9.00pt;mso-wrap-distance-top:0.00pt;mso-wrap-distance-right:9.00pt;mso-wrap-distance-bottom:0.00pt;v-text-anchor:middle;visibility:visible;" fillcolor="#F5B1A2" strokecolor="#E64823" strokeweight="1.50pt">
                <v:textbox inset="0,0,0,0">
                  <w:txbxContent>
                    <w:p w14:paraId="6E21BF46" w14:textId="5CAD3CB5">
                      <w:pPr>
                        <w:pBdr/>
                        <w:spacing/>
                        <w:ind w:hanging="900" w:left="900"/>
                        <w:rPr>
                          <w:rFonts w:cstheme="minorHAnsi"/>
                          <w:sz w:val="28"/>
                          <w:szCs w:val="28"/>
                        </w:rPr>
                      </w:pPr>
                      <w:r>
                        <w:rPr>
                          <w:rFonts w:cstheme="minorHAnsi"/>
                          <w:b/>
                          <w:sz w:val="28"/>
                          <w:szCs w:val="28"/>
                        </w:rPr>
                        <w:t xml:space="preserve">Goal 2: </w:t>
                      </w:r>
                      <w:r>
                        <w:rPr>
                          <w:rFonts w:cstheme="minorHAnsi"/>
                          <w:b/>
                          <w:sz w:val="28"/>
                          <w:szCs w:val="28"/>
                        </w:rPr>
                        <w:t xml:space="preserve">Improve specialty care options in Roosevelt County. </w:t>
                      </w:r>
                      <w:r>
                        <w:rPr>
                          <w:rFonts w:cstheme="minorHAnsi"/>
                          <w:sz w:val="28"/>
                          <w:szCs w:val="28"/>
                        </w:rPr>
                      </w:r>
                    </w:p>
                  </w:txbxContent>
                </v:textbox>
              </v:shape>
            </w:pict>
          </mc:Fallback>
        </mc:AlternateContent>
      </w:r>
      <w:r/>
    </w:p>
    <w:p w14:paraId="32FB218F" w14:textId="4E2BD496">
      <w:pPr>
        <w:pBdr/>
        <w:spacing/>
        <w:ind/>
        <w:rPr>
          <w:rFonts w:cstheme="minorHAnsi"/>
          <w:b/>
          <w:szCs w:val="24"/>
          <w:u w:val="single"/>
        </w:rPr>
      </w:pPr>
      <w:r>
        <w:rPr>
          <w:rFonts w:cstheme="minorHAnsi"/>
          <w:b/>
          <w:szCs w:val="24"/>
          <w:u w:val="single"/>
        </w:rPr>
      </w:r>
      <w:r>
        <w:rPr>
          <w:rFonts w:cstheme="minorHAnsi"/>
          <w:b/>
          <w:szCs w:val="24"/>
          <w:u w:val="single"/>
        </w:rPr>
      </w:r>
    </w:p>
    <w:tbl>
      <w:tblPr>
        <w:tblStyle w:val="1138"/>
        <w:tblW w:w="131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pPr w:horzAnchor="margin" w:tblpXSpec="left" w:vertAnchor="text" w:tblpY="272" w:leftFromText="180" w:topFromText="0" w:rightFromText="180" w:bottomFromText="0"/>
        <w:tblLook w:val="04A0" w:firstRow="1" w:lastRow="0" w:firstColumn="1" w:lastColumn="0" w:noHBand="0" w:noVBand="1"/>
      </w:tblPr>
      <w:tblGrid>
        <w:gridCol w:w="1104"/>
        <w:gridCol w:w="12036"/>
      </w:tblGrid>
      <w:tr>
        <w:trPr>
          <w:trHeight w:val="378"/>
        </w:trPr>
        <w:tc>
          <w:tcPr>
            <w:gridSpan w:val="2"/>
            <w:tcBorders/>
            <w:tcW w:w="13140" w:type="dxa"/>
            <w:vAlign w:val="center"/>
          </w:tcPr>
          <w:p w14:paraId="5B7D6934" w14:textId="77777777">
            <w:pPr>
              <w:pBdr/>
              <w:spacing/>
              <w:ind/>
              <w:rPr>
                <w:rFonts w:cstheme="minorHAnsi"/>
                <w:b/>
                <w:szCs w:val="24"/>
              </w:rPr>
            </w:pPr>
            <w:r>
              <w:rPr>
                <w:rFonts w:cstheme="minorHAnsi"/>
                <w:b/>
                <w:szCs w:val="24"/>
              </w:rPr>
              <w:t xml:space="preserve">Strategy 2.1: </w:t>
            </w:r>
            <w:r>
              <w:rPr>
                <w:rFonts w:cstheme="minorHAnsi"/>
                <w:b/>
                <w:bCs/>
                <w:szCs w:val="24"/>
              </w:rPr>
              <w:t xml:space="preserve">Continue to seek to provide specialty care services desired by the community.</w:t>
            </w:r>
            <w:r>
              <w:rPr>
                <w:rFonts w:cstheme="minorHAnsi"/>
                <w:b/>
                <w:szCs w:val="24"/>
              </w:rPr>
            </w:r>
          </w:p>
        </w:tc>
      </w:tr>
      <w:tr>
        <w:trPr/>
        <w:tc>
          <w:tcPr>
            <w:tcBorders/>
            <w:tcW w:w="1104" w:type="dxa"/>
          </w:tcPr>
          <w:p w14:paraId="44E01DE6"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2.1.1.</w:t>
            </w:r>
            <w:r>
              <w:rPr>
                <w:rFonts w:cstheme="minorHAnsi"/>
                <w:b/>
                <w:color w:val="000000" w:themeColor="text1"/>
                <w:szCs w:val="24"/>
              </w:rPr>
            </w:r>
          </w:p>
        </w:tc>
        <w:tc>
          <w:tcPr>
            <w:tcBorders/>
            <w:tcW w:w="12036" w:type="dxa"/>
            <w:vAlign w:val="center"/>
          </w:tcPr>
          <w:p w14:paraId="64E7DCCA" w14:textId="77777777">
            <w:pPr>
              <w:pBdr/>
              <w:spacing/>
              <w:ind w:left="-15"/>
              <w:rPr>
                <w:rFonts w:cstheme="minorHAnsi"/>
                <w:bCs/>
                <w:szCs w:val="24"/>
              </w:rPr>
            </w:pPr>
            <w:r>
              <w:rPr>
                <w:rFonts w:cstheme="minorHAnsi"/>
                <w:szCs w:val="24"/>
              </w:rPr>
              <w:t xml:space="preserve">Examine how to ease and facilitate the process for patients to receive care from specialty providers, particularly through promotion of visitin</w:t>
            </w:r>
            <w:r>
              <w:rPr>
                <w:rFonts w:cstheme="minorHAnsi"/>
              </w:rPr>
              <w:t xml:space="preserve">g</w:t>
            </w:r>
            <w:r>
              <w:rPr>
                <w:rFonts w:cstheme="minorHAnsi"/>
                <w:szCs w:val="24"/>
              </w:rPr>
              <w:t xml:space="preserve"> specialist schedules among providers and the public.</w:t>
            </w:r>
            <w:r>
              <w:rPr>
                <w:rFonts w:cstheme="minorHAnsi"/>
                <w:bCs/>
                <w:szCs w:val="24"/>
              </w:rPr>
            </w:r>
          </w:p>
        </w:tc>
      </w:tr>
      <w:tr>
        <w:trPr/>
        <w:tc>
          <w:tcPr>
            <w:tcBorders/>
            <w:tcW w:w="1104" w:type="dxa"/>
          </w:tcPr>
          <w:p w14:paraId="6F43D3AC"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2.1.2.</w:t>
            </w:r>
            <w:r>
              <w:rPr>
                <w:rFonts w:cstheme="minorHAnsi"/>
                <w:b/>
                <w:color w:val="000000" w:themeColor="text1"/>
                <w:szCs w:val="24"/>
              </w:rPr>
            </w:r>
          </w:p>
        </w:tc>
        <w:tc>
          <w:tcPr>
            <w:tcBorders/>
            <w:tcW w:w="12036" w:type="dxa"/>
            <w:vAlign w:val="center"/>
          </w:tcPr>
          <w:p w14:paraId="181C6E10" w14:textId="77777777">
            <w:pPr>
              <w:pBdr/>
              <w:spacing w:line="259" w:lineRule="auto"/>
              <w:ind/>
              <w:rPr>
                <w:rFonts w:cstheme="minorHAnsi"/>
              </w:rPr>
            </w:pPr>
            <w:r>
              <w:rPr>
                <w:rFonts w:cstheme="minorHAnsi"/>
                <w:szCs w:val="24"/>
              </w:rPr>
              <w:t xml:space="preserve">Continue to consider feasibility of bringing on general surgery at NEMHS and the possibility of utilizing RHTP funding to support this effort.</w:t>
            </w:r>
            <w:r>
              <w:rPr>
                <w:rFonts w:cstheme="minorHAnsi"/>
              </w:rPr>
            </w:r>
          </w:p>
        </w:tc>
      </w:tr>
      <w:tr>
        <w:trPr/>
        <w:tc>
          <w:tcPr>
            <w:tcBorders/>
            <w:tcW w:w="1104" w:type="dxa"/>
          </w:tcPr>
          <w:p w14:paraId="2ED1AD84"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2.1.3.</w:t>
            </w:r>
            <w:r>
              <w:rPr>
                <w:rFonts w:cstheme="minorHAnsi"/>
                <w:b/>
                <w:color w:val="000000" w:themeColor="text1"/>
                <w:szCs w:val="24"/>
              </w:rPr>
            </w:r>
          </w:p>
        </w:tc>
        <w:tc>
          <w:tcPr>
            <w:tcBorders/>
            <w:tcW w:w="12036" w:type="dxa"/>
            <w:vAlign w:val="center"/>
          </w:tcPr>
          <w:p w14:paraId="3CFA710D" w14:textId="77777777">
            <w:pPr>
              <w:pBdr/>
              <w:spacing w:line="259" w:lineRule="auto"/>
              <w:ind/>
              <w:rPr>
                <w:rFonts w:cstheme="minorHAnsi"/>
              </w:rPr>
            </w:pPr>
            <w:r>
              <w:rPr>
                <w:rFonts w:cstheme="minorHAnsi"/>
                <w:szCs w:val="24"/>
              </w:rPr>
              <w:t xml:space="preserve">Work with Tribe to begin offering pediatric dental surgery at NEMHS.</w:t>
            </w:r>
            <w:r>
              <w:rPr>
                <w:rFonts w:cstheme="minorHAnsi"/>
              </w:rPr>
            </w:r>
          </w:p>
        </w:tc>
      </w:tr>
      <w:tr>
        <w:trPr/>
        <w:tc>
          <w:tcPr>
            <w:tcBorders/>
            <w:tcW w:w="1104" w:type="dxa"/>
          </w:tcPr>
          <w:p w14:paraId="37DA0F7A"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2.1.4.</w:t>
            </w:r>
            <w:r>
              <w:rPr>
                <w:rFonts w:cstheme="minorHAnsi"/>
                <w:b/>
                <w:color w:val="000000" w:themeColor="text1"/>
                <w:szCs w:val="24"/>
              </w:rPr>
            </w:r>
          </w:p>
        </w:tc>
        <w:tc>
          <w:tcPr>
            <w:tcBorders/>
            <w:tcW w:w="12036" w:type="dxa"/>
            <w:vAlign w:val="center"/>
          </w:tcPr>
          <w:p w14:paraId="43907F48" w14:textId="77777777">
            <w:pPr>
              <w:pBdr/>
              <w:spacing w:line="259" w:lineRule="auto"/>
              <w:ind/>
              <w:rPr>
                <w:rFonts w:cstheme="minorHAnsi"/>
              </w:rPr>
            </w:pPr>
            <w:r>
              <w:rPr>
                <w:rFonts w:cstheme="minorHAnsi"/>
                <w:szCs w:val="24"/>
              </w:rPr>
              <w:t xml:space="preserve">Continue advertising preventive services such as colonoscopies; examine if more procedures can be offered with both current providers and the potential addition of a general surgeon. </w:t>
            </w:r>
            <w:r>
              <w:rPr>
                <w:rFonts w:cstheme="minorHAnsi"/>
              </w:rPr>
            </w:r>
          </w:p>
        </w:tc>
      </w:tr>
      <w:tr>
        <w:trPr/>
        <w:tc>
          <w:tcPr>
            <w:tcBorders/>
            <w:tcW w:w="1104" w:type="dxa"/>
          </w:tcPr>
          <w:p w14:paraId="6EBF26FD" w14:textId="77777777">
            <w:pPr>
              <w:pBdr/>
              <w:spacing w:line="276" w:lineRule="auto"/>
              <w:ind w:left="330"/>
              <w:jc w:val="center"/>
              <w:rPr>
                <w:rFonts w:cstheme="minorHAnsi"/>
                <w:b/>
                <w:color w:val="000000" w:themeColor="text1"/>
                <w:szCs w:val="24"/>
              </w:rPr>
            </w:pPr>
            <w:r>
              <w:rPr>
                <w:rFonts w:cstheme="minorHAnsi"/>
                <w:b/>
                <w:color w:val="000000" w:themeColor="text1"/>
                <w:szCs w:val="24"/>
              </w:rPr>
              <w:t xml:space="preserve">2.1.5.</w:t>
            </w:r>
            <w:r>
              <w:rPr>
                <w:rFonts w:cstheme="minorHAnsi"/>
                <w:b/>
                <w:color w:val="000000" w:themeColor="text1"/>
                <w:szCs w:val="24"/>
              </w:rPr>
            </w:r>
          </w:p>
        </w:tc>
        <w:tc>
          <w:tcPr>
            <w:tcBorders/>
            <w:tcW w:w="12036" w:type="dxa"/>
            <w:vAlign w:val="center"/>
          </w:tcPr>
          <w:p w14:paraId="3647B232" w14:textId="77777777">
            <w:pPr>
              <w:pBdr/>
              <w:spacing w:line="259" w:lineRule="auto"/>
              <w:ind/>
              <w:rPr>
                <w:rFonts w:cstheme="minorHAnsi"/>
              </w:rPr>
            </w:pPr>
            <w:r>
              <w:rPr>
                <w:rFonts w:cstheme="minorHAnsi"/>
                <w:szCs w:val="24"/>
              </w:rPr>
              <w:t xml:space="preserve">Promote expanded physical therapy access in Poplar and eastern Roosevelt County. Stay attuned to feedback and any needs that arise as service is implemented and access is expanded.</w:t>
            </w:r>
            <w:r>
              <w:rPr>
                <w:rFonts w:cstheme="minorHAnsi"/>
              </w:rPr>
            </w:r>
          </w:p>
        </w:tc>
      </w:tr>
    </w:tbl>
    <w:p w14:paraId="1F5C3926" w14:textId="42F2D0ED">
      <w:pPr>
        <w:pBdr/>
        <w:spacing/>
        <w:ind/>
        <w:rPr>
          <w:rFonts w:cstheme="minorHAnsi"/>
        </w:rPr>
      </w:pPr>
      <w:r>
        <w:rPr>
          <w:rFonts w:cstheme="minorHAnsi"/>
        </w:rPr>
      </w:r>
      <w:r>
        <w:rPr>
          <w:rFonts w:cstheme="minorHAnsi"/>
        </w:rPr>
      </w:r>
    </w:p>
    <w:p w14:paraId="7F06AB2B" w14:textId="01BC551E">
      <w:pPr>
        <w:pBdr/>
        <w:spacing/>
        <w:ind/>
        <w:rPr>
          <w:rFonts w:cstheme="minorHAnsi"/>
        </w:rPr>
      </w:pPr>
      <w:r>
        <w:rPr>
          <w:rFonts w:cstheme="minorHAnsi"/>
          <w:b/>
          <w:szCs w:val="24"/>
          <w:u w:val="single"/>
          <w:lang w:bidi="ar-SA"/>
        </w:rP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margin">
                  <wp:posOffset>8255</wp:posOffset>
                </wp:positionH>
                <wp:positionV relativeFrom="paragraph">
                  <wp:posOffset>-3714</wp:posOffset>
                </wp:positionV>
                <wp:extent cx="8201025" cy="586596"/>
                <wp:effectExtent l="0" t="0" r="28575" b="23495"/>
                <wp:wrapNone/>
                <wp:docPr id="4" name="Text Box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201025" cy="586596"/>
                        </a:xfrm>
                        <a:prstGeom prst="roundRect">
                          <a:avLst>
                            <a:gd name="adj" fmla="val 16667"/>
                          </a:avLst>
                        </a:prstGeom>
                        <a:solidFill>
                          <a:schemeClr val="accent4">
                            <a:lumMod val="60000"/>
                            <a:lumOff val="40000"/>
                          </a:schemeClr>
                        </a:solidFill>
                        <a:ln w="19050">
                          <a:solidFill>
                            <a:schemeClr val="accent4"/>
                          </a:solidFill>
                          <a:miter lim="800000"/>
                          <a:headEnd/>
                          <a:tailEnd/>
                        </a:ln>
                        <a:effectLst/>
                      </wps:spPr>
                      <wps:txbx>
                        <w:txbxContent>
                          <w:p w14:paraId="65CBD1B7" w14:textId="3D0FA516">
                            <w:pPr>
                              <w:pBdr/>
                              <w:shd w:val="clear" w:color="auto" w:fill="f3a873" w:themeFill="accent4" w:themeFillTint="99"/>
                              <w:spacing/>
                              <w:ind w:hanging="900" w:left="900"/>
                              <w:rPr>
                                <w:rFonts w:cstheme="minorHAnsi"/>
                                <w:sz w:val="28"/>
                                <w:szCs w:val="28"/>
                              </w:rPr>
                            </w:pPr>
                            <w:r>
                              <w:rPr>
                                <w:rFonts w:cstheme="minorHAnsi"/>
                                <w:b/>
                                <w:sz w:val="28"/>
                                <w:szCs w:val="28"/>
                              </w:rPr>
                              <w:t xml:space="preserve">Goal 3: </w:t>
                            </w:r>
                            <w:r>
                              <w:rPr>
                                <w:rFonts w:cstheme="minorHAnsi"/>
                                <w:b/>
                                <w:sz w:val="28"/>
                                <w:szCs w:val="28"/>
                              </w:rPr>
                              <w:t xml:space="preserve">Advance community health throughout Roosevelt County. </w:t>
                            </w:r>
                            <w:r>
                              <w:rPr>
                                <w:rFonts w:cstheme="minorHAnsi"/>
                                <w:sz w:val="28"/>
                                <w:szCs w:val="28"/>
                              </w:rP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hape 3" o:spid="_x0000_s3" o:spt="202" type="#_x0000_t202" style="position:absolute;z-index:251658242;o:allowoverlap:true;o:allowincell:true;mso-position-horizontal-relative:margin;margin-left:0.65pt;mso-position-horizontal:absolute;mso-position-vertical-relative:text;margin-top:-0.29pt;mso-position-vertical:absolute;width:645.75pt;height:46.19pt;mso-wrap-distance-left:9.00pt;mso-wrap-distance-top:0.00pt;mso-wrap-distance-right:9.00pt;mso-wrap-distance-bottom:0.00pt;v-text-anchor:middle;visibility:visible;" fillcolor="#F3A06F" strokecolor="#EC7016" strokeweight="1.50pt">
                <v:textbox inset="0,0,0,0">
                  <w:txbxContent>
                    <w:p w14:paraId="65CBD1B7" w14:textId="3D0FA516">
                      <w:pPr>
                        <w:pBdr/>
                        <w:shd w:val="clear" w:color="auto" w:fill="f3a873" w:themeFill="accent4" w:themeFillTint="99"/>
                        <w:spacing/>
                        <w:ind w:hanging="900" w:left="900"/>
                        <w:rPr>
                          <w:rFonts w:cstheme="minorHAnsi"/>
                          <w:sz w:val="28"/>
                          <w:szCs w:val="28"/>
                        </w:rPr>
                      </w:pPr>
                      <w:r>
                        <w:rPr>
                          <w:rFonts w:cstheme="minorHAnsi"/>
                          <w:b/>
                          <w:sz w:val="28"/>
                          <w:szCs w:val="28"/>
                        </w:rPr>
                        <w:t xml:space="preserve">Goal 3: </w:t>
                      </w:r>
                      <w:r>
                        <w:rPr>
                          <w:rFonts w:cstheme="minorHAnsi"/>
                          <w:b/>
                          <w:sz w:val="28"/>
                          <w:szCs w:val="28"/>
                        </w:rPr>
                        <w:t xml:space="preserve">Advance community health throughout Roosevelt County. </w:t>
                      </w:r>
                      <w:r>
                        <w:rPr>
                          <w:rFonts w:cstheme="minorHAnsi"/>
                          <w:sz w:val="28"/>
                          <w:szCs w:val="28"/>
                        </w:rPr>
                      </w:r>
                    </w:p>
                  </w:txbxContent>
                </v:textbox>
              </v:shape>
            </w:pict>
          </mc:Fallback>
        </mc:AlternateContent>
      </w:r>
      <w:r>
        <w:rPr>
          <w:rFonts w:cstheme="minorHAnsi"/>
        </w:rPr>
      </w:r>
    </w:p>
    <w:p w14:paraId="71B32470" w14:textId="54C0C116">
      <w:pPr>
        <w:pBdr/>
        <w:spacing/>
        <w:ind/>
        <w:rPr>
          <w:rFonts w:cstheme="minorHAnsi"/>
        </w:rPr>
      </w:pPr>
      <w:r>
        <w:rPr>
          <w:rFonts w:cstheme="minorHAnsi"/>
        </w:rPr>
      </w:r>
      <w:r>
        <w:rPr>
          <w:rFonts w:cstheme="minorHAnsi"/>
        </w:rPr>
      </w:r>
    </w:p>
    <w:p w14:paraId="592053F0" w14:textId="77777777">
      <w:pPr>
        <w:pBdr/>
        <w:spacing/>
        <w:ind/>
        <w:rPr>
          <w:rFonts w:eastAsiaTheme="majorEastAsia"/>
          <w:b/>
          <w:bCs/>
          <w:color w:val="c49a00" w:themeColor="accent1" w:themeShade="BF"/>
          <w:sz w:val="28"/>
          <w:szCs w:val="28"/>
        </w:rPr>
      </w:pPr>
      <w:r>
        <w:rPr>
          <w:rFonts w:eastAsiaTheme="majorEastAsia"/>
          <w:b/>
          <w:bCs/>
          <w:color w:val="c49a00" w:themeColor="accent1" w:themeShade="BF"/>
          <w:sz w:val="28"/>
          <w:szCs w:val="28"/>
        </w:rPr>
      </w:r>
      <w:r>
        <w:rPr>
          <w:rFonts w:eastAsiaTheme="majorEastAsia"/>
          <w:b/>
          <w:bCs/>
          <w:color w:val="c49a00" w:themeColor="accent1" w:themeShade="BF"/>
          <w:sz w:val="28"/>
          <w:szCs w:val="28"/>
        </w:rPr>
      </w:r>
    </w:p>
    <w:tbl>
      <w:tblPr>
        <w:tblStyle w:val="1138"/>
        <w:tblW w:w="13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pPr w:horzAnchor="margin" w:tblpXSpec="left" w:vertAnchor="text" w:tblpY="272" w:leftFromText="180" w:topFromText="0" w:rightFromText="180" w:bottomFromText="0"/>
        <w:tblLook w:val="04A0" w:firstRow="1" w:lastRow="0" w:firstColumn="1" w:lastColumn="0" w:noHBand="0" w:noVBand="1"/>
      </w:tblPr>
      <w:tblGrid>
        <w:gridCol w:w="1104"/>
        <w:gridCol w:w="11861"/>
        <w:gridCol w:w="265"/>
      </w:tblGrid>
      <w:tr>
        <w:trPr>
          <w:trHeight w:val="378"/>
        </w:trPr>
        <w:tc>
          <w:tcPr>
            <w:gridSpan w:val="3"/>
            <w:tcBorders/>
            <w:tcW w:w="13230" w:type="dxa"/>
            <w:vAlign w:val="center"/>
          </w:tcPr>
          <w:p w14:paraId="5067304B" w14:textId="69E22BAB">
            <w:pPr>
              <w:pBdr/>
              <w:spacing/>
              <w:ind/>
              <w:rPr>
                <w:rFonts w:cstheme="minorHAnsi"/>
                <w:b/>
                <w:szCs w:val="24"/>
              </w:rPr>
            </w:pPr>
            <w:r>
              <w:rPr>
                <w:rFonts w:cstheme="minorHAnsi"/>
                <w:b/>
                <w:szCs w:val="24"/>
              </w:rPr>
              <w:t xml:space="preserve">Strategy 3.1: </w:t>
            </w:r>
            <w:r>
              <w:rPr>
                <w:rFonts w:cstheme="minorHAnsi"/>
                <w:b/>
              </w:rPr>
              <w:t xml:space="preserve">Continue to work with community partners to address mental and behavioral health.</w:t>
            </w:r>
            <w:r>
              <w:rPr>
                <w:rFonts w:cstheme="minorHAnsi"/>
                <w:b/>
                <w:szCs w:val="24"/>
              </w:rPr>
            </w:r>
          </w:p>
        </w:tc>
      </w:tr>
      <w:tr>
        <w:trPr>
          <w:gridAfter w:val="1"/>
        </w:trPr>
        <w:tc>
          <w:tcPr>
            <w:tcBorders/>
            <w:tcW w:w="1104" w:type="dxa"/>
          </w:tcPr>
          <w:p w14:paraId="277DF3D8" w14:textId="496499D3">
            <w:pPr>
              <w:pBdr/>
              <w:spacing w:line="276" w:lineRule="auto"/>
              <w:ind w:left="330"/>
              <w:jc w:val="center"/>
              <w:rPr>
                <w:rFonts w:cstheme="minorHAnsi"/>
                <w:b/>
                <w:color w:val="000000" w:themeColor="text1"/>
                <w:szCs w:val="24"/>
              </w:rPr>
            </w:pPr>
            <w:r>
              <w:rPr>
                <w:rFonts w:cstheme="minorHAnsi"/>
                <w:b/>
                <w:color w:val="000000" w:themeColor="text1"/>
                <w:szCs w:val="24"/>
              </w:rPr>
              <w:t xml:space="preserve">3.1.1.</w:t>
            </w:r>
            <w:r>
              <w:rPr>
                <w:rFonts w:cstheme="minorHAnsi"/>
                <w:b/>
                <w:color w:val="000000" w:themeColor="text1"/>
                <w:szCs w:val="24"/>
              </w:rPr>
            </w:r>
          </w:p>
        </w:tc>
        <w:tc>
          <w:tcPr>
            <w:tcBorders/>
            <w:tcW w:w="11861" w:type="dxa"/>
          </w:tcPr>
          <w:p w14:paraId="2600738C" w14:textId="1D8D2907">
            <w:pPr>
              <w:pBdr/>
              <w:spacing/>
              <w:ind w:left="-15"/>
              <w:rPr>
                <w:rFonts w:cstheme="minorHAnsi"/>
                <w:bCs/>
                <w:szCs w:val="24"/>
              </w:rPr>
            </w:pPr>
            <w:r>
              <w:rPr>
                <w:rFonts w:cstheme="minorHAnsi"/>
                <w:szCs w:val="24"/>
              </w:rPr>
              <w:t xml:space="preserve">Continue to be involved with local conversations about bolstering mental and behavioral crisis response resources and systems.</w:t>
            </w:r>
            <w:r>
              <w:rPr>
                <w:rFonts w:cstheme="minorHAnsi"/>
                <w:bCs/>
                <w:szCs w:val="24"/>
              </w:rPr>
            </w:r>
          </w:p>
        </w:tc>
      </w:tr>
      <w:tr>
        <w:trPr>
          <w:gridAfter w:val="1"/>
        </w:trPr>
        <w:tc>
          <w:tcPr>
            <w:tcBorders/>
            <w:tcW w:w="1104" w:type="dxa"/>
          </w:tcPr>
          <w:p w14:paraId="6FF7E411" w14:textId="7FD6B23F">
            <w:pPr>
              <w:pBdr/>
              <w:spacing w:line="276" w:lineRule="auto"/>
              <w:ind w:left="330"/>
              <w:jc w:val="center"/>
              <w:rPr>
                <w:rFonts w:cstheme="minorHAnsi"/>
                <w:b/>
                <w:color w:val="000000" w:themeColor="text1"/>
                <w:szCs w:val="24"/>
              </w:rPr>
            </w:pPr>
            <w:r>
              <w:rPr>
                <w:rFonts w:cstheme="minorHAnsi"/>
                <w:b/>
                <w:color w:val="000000" w:themeColor="text1"/>
                <w:szCs w:val="24"/>
              </w:rPr>
              <w:t xml:space="preserve">3.1.2.</w:t>
            </w:r>
            <w:r>
              <w:rPr>
                <w:rFonts w:cstheme="minorHAnsi"/>
                <w:b/>
                <w:color w:val="000000" w:themeColor="text1"/>
                <w:szCs w:val="24"/>
              </w:rPr>
            </w:r>
          </w:p>
        </w:tc>
        <w:tc>
          <w:tcPr>
            <w:tcBorders/>
            <w:tcW w:w="11861" w:type="dxa"/>
          </w:tcPr>
          <w:p w14:paraId="13F54050" w14:textId="2CEB45EC">
            <w:pPr>
              <w:pBdr/>
              <w:spacing/>
              <w:ind/>
              <w:rPr>
                <w:rFonts w:cstheme="minorHAnsi"/>
                <w:bCs/>
                <w:szCs w:val="24"/>
              </w:rPr>
            </w:pPr>
            <w:r>
              <w:rPr>
                <w:rFonts w:cstheme="minorHAnsi"/>
                <w:szCs w:val="24"/>
              </w:rPr>
              <w:t xml:space="preserve">Support Tribal Crisis Coalition’s Strategic Plan </w:t>
            </w:r>
            <w:r>
              <w:rPr>
                <w:rFonts w:cstheme="minorHAnsi"/>
                <w:szCs w:val="24"/>
              </w:rPr>
              <w:t xml:space="preserve">to address mental and behavioral health and alcohol and substance use </w:t>
            </w:r>
            <w:r>
              <w:rPr>
                <w:rFonts w:cstheme="minorHAnsi"/>
                <w:szCs w:val="24"/>
              </w:rPr>
              <w:t xml:space="preserve">as best NEMHS is able to given funding and staffing barriers. </w:t>
            </w:r>
            <w:r>
              <w:rPr>
                <w:rFonts w:cstheme="minorHAnsi"/>
                <w:bCs/>
                <w:szCs w:val="24"/>
              </w:rPr>
            </w:r>
          </w:p>
        </w:tc>
      </w:tr>
      <w:tr>
        <w:trPr>
          <w:trHeight w:val="177"/>
        </w:trPr>
        <w:tc>
          <w:tcPr>
            <w:gridSpan w:val="3"/>
            <w:tcBorders/>
            <w:tcW w:w="13230" w:type="dxa"/>
          </w:tcPr>
          <w:p w14:paraId="5526B4E1" w14:textId="77777777">
            <w:pPr>
              <w:pBdr/>
              <w:spacing/>
              <w:ind/>
              <w:rPr>
                <w:rFonts w:cstheme="minorHAnsi"/>
                <w:bCs/>
                <w:szCs w:val="24"/>
              </w:rPr>
            </w:pPr>
            <w:r>
              <w:rPr>
                <w:rFonts w:cstheme="minorHAnsi"/>
                <w:bCs/>
                <w:szCs w:val="24"/>
              </w:rPr>
            </w:r>
            <w:r>
              <w:rPr>
                <w:rFonts w:cstheme="minorHAnsi"/>
                <w:bCs/>
                <w:szCs w:val="24"/>
              </w:rPr>
            </w:r>
          </w:p>
        </w:tc>
      </w:tr>
      <w:tr>
        <w:trPr/>
        <w:tc>
          <w:tcPr>
            <w:gridSpan w:val="3"/>
            <w:tcBorders/>
            <w:tcW w:w="13230" w:type="dxa"/>
            <w:vAlign w:val="center"/>
          </w:tcPr>
          <w:p w14:paraId="215EE378" w14:textId="62E6DF56">
            <w:pPr>
              <w:pBdr/>
              <w:spacing/>
              <w:ind/>
              <w:rPr>
                <w:rFonts w:cstheme="minorHAnsi"/>
                <w:bCs/>
                <w:szCs w:val="24"/>
              </w:rPr>
            </w:pPr>
            <w:r>
              <w:rPr>
                <w:rFonts w:cstheme="minorHAnsi"/>
                <w:b/>
                <w:szCs w:val="24"/>
              </w:rPr>
              <w:t xml:space="preserve">Strategy 3.2: </w:t>
            </w:r>
            <w:r>
              <w:rPr>
                <w:rFonts w:cstheme="minorHAnsi"/>
                <w:b/>
              </w:rPr>
              <w:t xml:space="preserve">Promote healthy behaviors and lifestyles through education and awareness.</w:t>
            </w:r>
            <w:r>
              <w:rPr>
                <w:rFonts w:cstheme="minorHAnsi"/>
                <w:bCs/>
                <w:szCs w:val="24"/>
              </w:rPr>
            </w:r>
          </w:p>
        </w:tc>
      </w:tr>
      <w:tr>
        <w:trPr>
          <w:gridAfter w:val="1"/>
        </w:trPr>
        <w:tc>
          <w:tcPr>
            <w:tcBorders/>
            <w:tcW w:w="1104" w:type="dxa"/>
          </w:tcPr>
          <w:p w14:paraId="2698D4EA" w14:textId="5E715465">
            <w:pPr>
              <w:pBdr/>
              <w:spacing w:line="276" w:lineRule="auto"/>
              <w:ind w:left="330"/>
              <w:jc w:val="center"/>
              <w:rPr>
                <w:rFonts w:cstheme="minorHAnsi"/>
                <w:b/>
                <w:color w:val="000000" w:themeColor="text1"/>
                <w:szCs w:val="24"/>
              </w:rPr>
            </w:pPr>
            <w:r>
              <w:rPr>
                <w:rFonts w:cstheme="minorHAnsi"/>
                <w:b/>
                <w:color w:val="000000" w:themeColor="text1"/>
                <w:szCs w:val="24"/>
              </w:rPr>
              <w:t xml:space="preserve">3.2.1.</w:t>
            </w:r>
            <w:r>
              <w:rPr>
                <w:rFonts w:cstheme="minorHAnsi"/>
                <w:b/>
                <w:color w:val="000000" w:themeColor="text1"/>
                <w:szCs w:val="24"/>
              </w:rPr>
            </w:r>
          </w:p>
        </w:tc>
        <w:tc>
          <w:tcPr>
            <w:tcBorders/>
            <w:tcW w:w="11861" w:type="dxa"/>
          </w:tcPr>
          <w:p w14:paraId="502CCB2E" w14:textId="0064F5BD">
            <w:pPr>
              <w:pBdr/>
              <w:spacing/>
              <w:ind/>
              <w:rPr>
                <w:rFonts w:cstheme="minorHAnsi"/>
                <w:szCs w:val="24"/>
              </w:rPr>
            </w:pPr>
            <w:r>
              <w:rPr>
                <w:rFonts w:cstheme="minorHAnsi"/>
                <w:szCs w:val="24"/>
              </w:rPr>
              <w:t xml:space="preserve">Continue to utilize NEMHS Facebook page to share advice and education around physical activity, nutrition, preventive checkups, and community events. </w:t>
            </w:r>
            <w:r>
              <w:rPr>
                <w:rFonts w:cstheme="minorHAnsi"/>
                <w:szCs w:val="24"/>
              </w:rPr>
            </w:r>
          </w:p>
        </w:tc>
      </w:tr>
      <w:tr>
        <w:trPr>
          <w:gridAfter w:val="1"/>
        </w:trPr>
        <w:tc>
          <w:tcPr>
            <w:tcBorders/>
            <w:tcW w:w="1104" w:type="dxa"/>
          </w:tcPr>
          <w:p w14:paraId="5B6C664C" w14:textId="1A004F97">
            <w:pPr>
              <w:pBdr/>
              <w:spacing w:line="276" w:lineRule="auto"/>
              <w:ind w:left="330"/>
              <w:jc w:val="center"/>
              <w:rPr>
                <w:rFonts w:cstheme="minorHAnsi"/>
                <w:b/>
                <w:color w:val="000000" w:themeColor="text1"/>
                <w:szCs w:val="24"/>
              </w:rPr>
            </w:pPr>
            <w:r>
              <w:rPr>
                <w:rFonts w:cstheme="minorHAnsi"/>
                <w:b/>
                <w:color w:val="000000" w:themeColor="text1"/>
                <w:szCs w:val="24"/>
              </w:rPr>
              <w:t xml:space="preserve">3.2.2.</w:t>
            </w:r>
            <w:r>
              <w:rPr>
                <w:rFonts w:cstheme="minorHAnsi"/>
                <w:b/>
                <w:color w:val="000000" w:themeColor="text1"/>
                <w:szCs w:val="24"/>
              </w:rPr>
            </w:r>
          </w:p>
        </w:tc>
        <w:tc>
          <w:tcPr>
            <w:tcBorders/>
            <w:tcW w:w="11861" w:type="dxa"/>
          </w:tcPr>
          <w:p w14:paraId="689D4D52" w14:textId="74278AFC">
            <w:pPr>
              <w:pBdr/>
              <w:spacing/>
              <w:ind w:left="-15"/>
              <w:rPr>
                <w:rFonts w:cstheme="minorHAnsi"/>
                <w:bCs/>
                <w:szCs w:val="24"/>
              </w:rPr>
            </w:pPr>
            <w:r>
              <w:rPr>
                <w:rFonts w:cstheme="minorHAnsi"/>
                <w:szCs w:val="24"/>
              </w:rPr>
              <w:t xml:space="preserve">Explore feasibility of hosting or supporting activitie</w:t>
            </w:r>
            <w:r>
              <w:rPr>
                <w:rFonts w:cstheme="minorHAnsi"/>
              </w:rPr>
              <w:t xml:space="preserve">s</w:t>
            </w:r>
            <w:r>
              <w:rPr>
                <w:rFonts w:cstheme="minorHAnsi"/>
                <w:szCs w:val="24"/>
              </w:rPr>
              <w:t xml:space="preserve"> such as fun runs and health fairs. Exploring resuming Walk With A Doc.</w:t>
            </w:r>
            <w:r>
              <w:rPr>
                <w:rFonts w:cstheme="minorHAnsi"/>
                <w:bCs/>
                <w:szCs w:val="24"/>
              </w:rPr>
            </w:r>
          </w:p>
        </w:tc>
      </w:tr>
      <w:tr>
        <w:trPr/>
        <w:tc>
          <w:tcPr>
            <w:gridSpan w:val="3"/>
            <w:tcBorders/>
            <w:tcW w:w="13230" w:type="dxa"/>
          </w:tcPr>
          <w:p w14:paraId="5CA2D759" w14:textId="77777777">
            <w:pPr>
              <w:pBdr/>
              <w:spacing/>
              <w:ind/>
              <w:rPr>
                <w:rFonts w:cstheme="minorHAnsi"/>
                <w:szCs w:val="24"/>
              </w:rPr>
            </w:pPr>
            <w:r>
              <w:rPr>
                <w:rFonts w:cstheme="minorHAnsi"/>
                <w:szCs w:val="24"/>
              </w:rPr>
            </w:r>
            <w:r>
              <w:rPr>
                <w:rFonts w:cstheme="minorHAnsi"/>
                <w:szCs w:val="24"/>
              </w:rPr>
            </w:r>
          </w:p>
        </w:tc>
      </w:tr>
    </w:tbl>
    <w:p w14:paraId="5D3E0D46" w14:textId="3BC1ABA3">
      <w:pPr>
        <w:pStyle w:val="1129"/>
        <w:pBdr/>
        <w:tabs>
          <w:tab w:val="center" w:leader="none" w:pos="6480"/>
        </w:tabs>
        <w:spacing/>
        <w:ind/>
        <w:jc w:val="center"/>
        <w:rPr>
          <w:rFonts w:asciiTheme="minorHAnsi" w:hAnsiTheme="minorHAnsi" w:cstheme="minorHAnsi"/>
        </w:rPr>
      </w:pPr>
      <w:r/>
      <w:bookmarkStart w:id="12" w:name="_Toc227308989"/>
      <w:r>
        <w:rPr>
          <w:rFonts w:asciiTheme="minorHAnsi" w:hAnsiTheme="minorHAnsi" w:cstheme="minorHAnsi"/>
        </w:rPr>
        <w:t xml:space="preserve">Implementation</w:t>
      </w:r>
      <w:r>
        <w:rPr>
          <w:rFonts w:asciiTheme="minorHAnsi" w:hAnsiTheme="minorHAnsi" w:cstheme="minorHAnsi"/>
        </w:rPr>
        <w:t xml:space="preserve"> Plan</w:t>
      </w:r>
      <w:r>
        <w:rPr>
          <w:rFonts w:asciiTheme="minorHAnsi" w:hAnsiTheme="minorHAnsi" w:cstheme="minorHAnsi"/>
        </w:rPr>
        <w:t xml:space="preserve"> Grid</w:t>
      </w:r>
      <w:bookmarkEnd w:id="12"/>
      <w:r/>
      <w:r>
        <w:rPr>
          <w:rFonts w:asciiTheme="minorHAnsi" w:hAnsiTheme="minorHAnsi" w:cstheme="minorHAnsi"/>
        </w:rPr>
      </w:r>
    </w:p>
    <w:p w14:paraId="6B66EC07" w14:textId="77777777">
      <w:pPr>
        <w:pBdr/>
        <w:spacing/>
        <w:ind/>
        <w:rPr/>
      </w:pPr>
      <w:r/>
      <w:r/>
    </w:p>
    <w:tbl>
      <w:tblPr>
        <w:tblStyle w:val="1138"/>
        <w:tblInd w:w="-459" w:type="dxa"/>
        <w:tblW w:w="14134" w:type="dxa"/>
        <w:tblBorders>
          <w:top w:val="single" w:color="ce8d3e" w:themeColor="accent3" w:sz="4" w:space="0"/>
          <w:left w:val="single" w:color="ce8d3e" w:themeColor="accent3" w:sz="4" w:space="0"/>
          <w:bottom w:val="single" w:color="ce8d3e" w:themeColor="accent3" w:sz="4" w:space="0"/>
          <w:right w:val="single" w:color="ce8d3e" w:themeColor="accent3" w:sz="4" w:space="0"/>
          <w:insideH w:val="single" w:color="ce8d3e" w:themeColor="accent3" w:sz="4" w:space="0"/>
          <w:insideV w:val="single" w:color="ce8d3e" w:themeColor="accent3" w:sz="4" w:space="0"/>
        </w:tblBorders>
        <w:tblLayout w:type="fixed"/>
        <w:tblLook w:val="04A0" w:firstRow="1" w:lastRow="0" w:firstColumn="1" w:lastColumn="0" w:noHBand="0" w:noVBand="1"/>
      </w:tblPr>
      <w:tblGrid>
        <w:gridCol w:w="3874"/>
        <w:gridCol w:w="2337"/>
        <w:gridCol w:w="1311"/>
        <w:gridCol w:w="1833"/>
        <w:gridCol w:w="2006"/>
        <w:gridCol w:w="2773"/>
      </w:tblGrid>
      <w:tr>
        <w:trPr>
          <w:trHeight w:val="530"/>
        </w:trPr>
        <w:tc>
          <w:tcPr>
            <w:gridSpan w:val="6"/>
            <w:shd w:val="clear" w:color="auto" w:fill="e1ba8b" w:themeFill="accent3" w:themeFillTint="99"/>
            <w:tcBorders/>
            <w:tcW w:w="14134" w:type="dxa"/>
            <w:vAlign w:val="center"/>
          </w:tcPr>
          <w:p w14:paraId="6D7BACE6" w14:textId="78094E57">
            <w:pPr>
              <w:pBdr/>
              <w:spacing/>
              <w:ind/>
              <w:rPr>
                <w:rFonts w:cstheme="minorHAnsi"/>
                <w:b/>
                <w:szCs w:val="24"/>
              </w:rPr>
            </w:pPr>
            <w:r>
              <w:rPr>
                <w:rFonts w:cstheme="minorHAnsi"/>
                <w:b/>
                <w:szCs w:val="24"/>
              </w:rPr>
              <w:t xml:space="preserve">Goal 1: </w:t>
            </w:r>
            <w:r>
              <w:rPr>
                <w:rFonts w:cstheme="minorHAnsi"/>
                <w:b/>
                <w:szCs w:val="24"/>
              </w:rPr>
              <w:t xml:space="preserve">Improve access to health resources and services in Roosevelt County. </w:t>
            </w:r>
            <w:r>
              <w:rPr>
                <w:rFonts w:cstheme="minorHAnsi"/>
                <w:b/>
                <w:szCs w:val="24"/>
              </w:rPr>
            </w:r>
          </w:p>
        </w:tc>
      </w:tr>
      <w:tr>
        <w:trPr>
          <w:trHeight w:val="530"/>
        </w:trPr>
        <w:tc>
          <w:tcPr>
            <w:gridSpan w:val="6"/>
            <w:shd w:val="clear" w:color="auto" w:fill="e1ba8b" w:themeFill="accent3" w:themeFillTint="99"/>
            <w:tcBorders/>
            <w:tcW w:w="14134" w:type="dxa"/>
            <w:vAlign w:val="center"/>
          </w:tcPr>
          <w:p w14:paraId="1AC9FD9C" w14:textId="5A41B618">
            <w:pPr>
              <w:pBdr/>
              <w:spacing/>
              <w:ind/>
              <w:rPr>
                <w:rFonts w:cstheme="minorHAnsi"/>
                <w:szCs w:val="24"/>
              </w:rPr>
            </w:pPr>
            <w:r>
              <w:rPr>
                <w:rFonts w:cstheme="minorHAnsi"/>
                <w:b/>
                <w:szCs w:val="24"/>
              </w:rPr>
              <w:t xml:space="preserve">Strategy 1.1:</w:t>
            </w:r>
            <w:r>
              <w:rPr>
                <w:rFonts w:cstheme="minorHAnsi"/>
                <w:szCs w:val="24"/>
              </w:rPr>
              <w:t xml:space="preserve"> </w:t>
            </w:r>
            <w:r>
              <w:rPr>
                <w:rFonts w:cstheme="minorHAnsi"/>
                <w:b/>
                <w:szCs w:val="24"/>
              </w:rPr>
              <w:t xml:space="preserve">Work to address gaps in access to health resources and services locally.</w:t>
            </w:r>
            <w:r>
              <w:rPr>
                <w:rFonts w:cstheme="minorHAnsi"/>
                <w:szCs w:val="24"/>
              </w:rPr>
            </w:r>
          </w:p>
        </w:tc>
      </w:tr>
      <w:tr>
        <w:trPr>
          <w:trHeight w:val="432"/>
        </w:trPr>
        <w:tc>
          <w:tcPr>
            <w:shd w:val="clear" w:color="auto" w:fill="a06928" w:themeFill="accent3" w:themeFillShade="BF"/>
            <w:tcBorders/>
            <w:tcW w:w="3874" w:type="dxa"/>
            <w:vAlign w:val="center"/>
          </w:tcPr>
          <w:p w14:paraId="3E52834B" w14:textId="77777777">
            <w:pPr>
              <w:pBdr/>
              <w:spacing/>
              <w:ind/>
              <w:jc w:val="center"/>
              <w:rPr>
                <w:rFonts w:cstheme="minorHAnsi"/>
                <w:b/>
                <w:color w:val="ffffff" w:themeColor="background1"/>
                <w:szCs w:val="24"/>
              </w:rPr>
            </w:pPr>
            <w:r>
              <w:rPr>
                <w:rFonts w:cstheme="minorHAnsi"/>
                <w:b/>
                <w:color w:val="ffffff" w:themeColor="background1"/>
                <w:szCs w:val="24"/>
              </w:rPr>
              <w:t xml:space="preserve">Activities</w:t>
            </w:r>
            <w:r>
              <w:rPr>
                <w:rFonts w:cstheme="minorHAnsi"/>
                <w:b/>
                <w:color w:val="ffffff" w:themeColor="background1"/>
                <w:szCs w:val="24"/>
              </w:rPr>
            </w:r>
          </w:p>
        </w:tc>
        <w:tc>
          <w:tcPr>
            <w:shd w:val="clear" w:color="auto" w:fill="a06928" w:themeFill="accent3" w:themeFillShade="BF"/>
            <w:tcBorders/>
            <w:tcW w:w="2337" w:type="dxa"/>
            <w:vAlign w:val="center"/>
          </w:tcPr>
          <w:p w14:paraId="7E83BBF1" w14:textId="77777777">
            <w:pPr>
              <w:pBdr/>
              <w:spacing/>
              <w:ind/>
              <w:jc w:val="center"/>
              <w:rPr>
                <w:rFonts w:cstheme="minorHAnsi"/>
                <w:b/>
                <w:color w:val="ffffff" w:themeColor="background1"/>
                <w:szCs w:val="24"/>
              </w:rPr>
            </w:pPr>
            <w:r>
              <w:rPr>
                <w:rFonts w:cstheme="minorHAnsi"/>
                <w:b/>
                <w:color w:val="ffffff" w:themeColor="background1"/>
                <w:szCs w:val="24"/>
              </w:rPr>
              <w:t xml:space="preserve">Responsibility</w:t>
            </w:r>
            <w:r>
              <w:rPr>
                <w:rFonts w:cstheme="minorHAnsi"/>
                <w:b/>
                <w:color w:val="ffffff" w:themeColor="background1"/>
                <w:szCs w:val="24"/>
              </w:rPr>
            </w:r>
          </w:p>
        </w:tc>
        <w:tc>
          <w:tcPr>
            <w:shd w:val="clear" w:color="auto" w:fill="a06928" w:themeFill="accent3" w:themeFillShade="BF"/>
            <w:tcBorders/>
            <w:tcW w:w="1311" w:type="dxa"/>
            <w:vAlign w:val="center"/>
          </w:tcPr>
          <w:p w14:paraId="1ECE1BBE" w14:textId="77777777">
            <w:pPr>
              <w:pBdr/>
              <w:spacing/>
              <w:ind/>
              <w:jc w:val="center"/>
              <w:rPr>
                <w:rFonts w:cstheme="minorHAnsi"/>
                <w:b/>
                <w:color w:val="ffffff" w:themeColor="background1"/>
                <w:szCs w:val="24"/>
              </w:rPr>
            </w:pPr>
            <w:r>
              <w:rPr>
                <w:rFonts w:cstheme="minorHAnsi"/>
                <w:b/>
                <w:color w:val="ffffff" w:themeColor="background1"/>
                <w:szCs w:val="24"/>
              </w:rPr>
              <w:t xml:space="preserve">Timeline</w:t>
            </w:r>
            <w:r>
              <w:rPr>
                <w:rFonts w:cstheme="minorHAnsi"/>
                <w:b/>
                <w:color w:val="ffffff" w:themeColor="background1"/>
                <w:szCs w:val="24"/>
              </w:rPr>
            </w:r>
          </w:p>
        </w:tc>
        <w:tc>
          <w:tcPr>
            <w:shd w:val="clear" w:color="auto" w:fill="a06928" w:themeFill="accent3" w:themeFillShade="BF"/>
            <w:tcBorders/>
            <w:tcW w:w="1833" w:type="dxa"/>
            <w:vAlign w:val="center"/>
          </w:tcPr>
          <w:p w14:paraId="640AFFFE" w14:textId="77777777">
            <w:pPr>
              <w:pBdr/>
              <w:spacing/>
              <w:ind/>
              <w:jc w:val="center"/>
              <w:rPr>
                <w:rFonts w:cstheme="minorHAnsi"/>
                <w:b/>
                <w:color w:val="ffffff" w:themeColor="background1"/>
                <w:szCs w:val="24"/>
              </w:rPr>
            </w:pPr>
            <w:r>
              <w:rPr>
                <w:rFonts w:cstheme="minorHAnsi"/>
                <w:b/>
                <w:color w:val="ffffff" w:themeColor="background1"/>
                <w:szCs w:val="24"/>
              </w:rPr>
              <w:t xml:space="preserve">Final Approval</w:t>
            </w:r>
            <w:r>
              <w:rPr>
                <w:rFonts w:cstheme="minorHAnsi"/>
                <w:b/>
                <w:color w:val="ffffff" w:themeColor="background1"/>
                <w:szCs w:val="24"/>
              </w:rPr>
            </w:r>
          </w:p>
        </w:tc>
        <w:tc>
          <w:tcPr>
            <w:shd w:val="clear" w:color="auto" w:fill="a06928" w:themeFill="accent3" w:themeFillShade="BF"/>
            <w:tcBorders/>
            <w:tcW w:w="2006" w:type="dxa"/>
            <w:vAlign w:val="center"/>
          </w:tcPr>
          <w:p w14:paraId="150BA76A" w14:textId="77777777">
            <w:pPr>
              <w:pBdr/>
              <w:spacing/>
              <w:ind/>
              <w:jc w:val="center"/>
              <w:rPr>
                <w:rFonts w:cstheme="minorHAnsi"/>
                <w:b/>
                <w:color w:val="ffffff" w:themeColor="background1"/>
                <w:szCs w:val="24"/>
              </w:rPr>
            </w:pPr>
            <w:r>
              <w:rPr>
                <w:rFonts w:cstheme="minorHAnsi"/>
                <w:b/>
                <w:color w:val="ffffff" w:themeColor="background1"/>
                <w:szCs w:val="24"/>
              </w:rPr>
              <w:t xml:space="preserve">Partners</w:t>
            </w:r>
            <w:r>
              <w:rPr>
                <w:rFonts w:cstheme="minorHAnsi"/>
                <w:b/>
                <w:color w:val="ffffff" w:themeColor="background1"/>
                <w:szCs w:val="24"/>
              </w:rPr>
            </w:r>
          </w:p>
        </w:tc>
        <w:tc>
          <w:tcPr>
            <w:shd w:val="clear" w:color="auto" w:fill="a06928" w:themeFill="accent3" w:themeFillShade="BF"/>
            <w:tcBorders/>
            <w:tcW w:w="2773" w:type="dxa"/>
            <w:vAlign w:val="center"/>
          </w:tcPr>
          <w:p w14:paraId="7B2255CF" w14:textId="77777777">
            <w:pPr>
              <w:pBdr/>
              <w:spacing/>
              <w:ind/>
              <w:jc w:val="center"/>
              <w:rPr>
                <w:rFonts w:cstheme="minorHAnsi"/>
                <w:b/>
                <w:color w:val="ffffff" w:themeColor="background1"/>
                <w:szCs w:val="24"/>
              </w:rPr>
            </w:pPr>
            <w:r>
              <w:rPr>
                <w:rFonts w:cstheme="minorHAnsi"/>
                <w:b/>
                <w:color w:val="ffffff" w:themeColor="background1"/>
                <w:szCs w:val="24"/>
              </w:rPr>
              <w:t xml:space="preserve">Potential Barriers </w:t>
            </w:r>
            <w:r>
              <w:rPr>
                <w:rFonts w:cstheme="minorHAnsi"/>
                <w:b/>
                <w:color w:val="ffffff" w:themeColor="background1"/>
                <w:szCs w:val="24"/>
              </w:rPr>
            </w:r>
          </w:p>
        </w:tc>
      </w:tr>
      <w:tr>
        <w:trPr>
          <w:trHeight w:val="1709"/>
        </w:trPr>
        <w:tc>
          <w:tcPr>
            <w:shd w:val="clear" w:color="auto" w:fill="f5e7d8" w:themeFill="accent3" w:themeFillTint="33"/>
            <w:tcBorders/>
            <w:tcW w:w="3874" w:type="dxa"/>
            <w:vAlign w:val="center"/>
          </w:tcPr>
          <w:p w14:paraId="762E9C56" w14:textId="4FA84B8B">
            <w:pPr>
              <w:pBdr/>
              <w:spacing w:after="40" w:before="40"/>
              <w:ind/>
              <w:rPr>
                <w:rFonts w:cstheme="minorHAnsi"/>
                <w:szCs w:val="24"/>
              </w:rPr>
            </w:pPr>
            <w:r>
              <w:rPr>
                <w:rFonts w:cstheme="minorHAnsi"/>
                <w:szCs w:val="24"/>
              </w:rPr>
              <w:t xml:space="preserve">Coordinate with tribal </w:t>
            </w:r>
            <w:r>
              <w:rPr>
                <w:rFonts w:cstheme="minorHAnsi"/>
                <w:szCs w:val="24"/>
              </w:rPr>
              <w:t xml:space="preserve">TShip</w:t>
            </w:r>
            <w:r>
              <w:rPr>
                <w:rFonts w:cstheme="minorHAnsi"/>
                <w:szCs w:val="24"/>
              </w:rPr>
              <w:t xml:space="preserve"> program to increase access to insurance and Medicaid coverage through sharing space and software needed for completing paperwork.</w:t>
            </w:r>
            <w:r>
              <w:rPr>
                <w:rFonts w:cstheme="minorHAnsi"/>
                <w:szCs w:val="24"/>
              </w:rPr>
            </w:r>
          </w:p>
        </w:tc>
        <w:tc>
          <w:tcPr>
            <w:shd w:val="clear" w:color="auto" w:fill="f5e7d8" w:themeFill="accent3" w:themeFillTint="33"/>
            <w:tcBorders/>
            <w:tcW w:w="2337" w:type="dxa"/>
            <w:vAlign w:val="center"/>
          </w:tcPr>
          <w:p w14:paraId="753078F7" w14:textId="45BF5F94">
            <w:pPr>
              <w:pBdr/>
              <w:spacing w:after="40" w:before="40"/>
              <w:ind/>
              <w:jc w:val="center"/>
              <w:rPr>
                <w:rFonts w:cstheme="minorHAnsi"/>
                <w:szCs w:val="24"/>
              </w:rPr>
            </w:pPr>
            <w:r>
              <w:rPr>
                <w:rFonts w:cstheme="minorHAnsi"/>
                <w:szCs w:val="24"/>
              </w:rPr>
              <w:t xml:space="preserve">Scott Olander</w:t>
            </w:r>
            <w:r>
              <w:rPr>
                <w:rFonts w:cstheme="minorHAnsi"/>
                <w:szCs w:val="24"/>
              </w:rPr>
            </w:r>
          </w:p>
        </w:tc>
        <w:tc>
          <w:tcPr>
            <w:shd w:val="clear" w:color="auto" w:fill="f5e7d8" w:themeFill="accent3" w:themeFillTint="33"/>
            <w:tcBorders/>
            <w:tcW w:w="1311" w:type="dxa"/>
            <w:vAlign w:val="center"/>
          </w:tcPr>
          <w:p w14:paraId="5F9D80F5" w14:textId="7C15D117">
            <w:pPr>
              <w:pBdr/>
              <w:spacing w:after="40" w:before="40"/>
              <w:ind/>
              <w:jc w:val="center"/>
              <w:rPr>
                <w:rFonts w:cstheme="minorHAnsi"/>
                <w:szCs w:val="24"/>
              </w:rPr>
            </w:pPr>
            <w:r>
              <w:rPr>
                <w:rFonts w:cstheme="minorHAnsi"/>
                <w:szCs w:val="24"/>
              </w:rPr>
              <w:t xml:space="preserve">7/01/2025</w:t>
            </w:r>
            <w:r>
              <w:rPr>
                <w:rFonts w:cstheme="minorHAnsi"/>
                <w:szCs w:val="24"/>
              </w:rPr>
            </w:r>
          </w:p>
        </w:tc>
        <w:tc>
          <w:tcPr>
            <w:shd w:val="clear" w:color="auto" w:fill="f5e7d8" w:themeFill="accent3" w:themeFillTint="33"/>
            <w:tcBorders/>
            <w:tcW w:w="1833" w:type="dxa"/>
            <w:vAlign w:val="center"/>
          </w:tcPr>
          <w:p w14:paraId="38692021" w14:textId="13B8F4EA">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340265C2" w14:textId="4423110A">
            <w:pPr>
              <w:pBdr/>
              <w:spacing w:after="40" w:before="40"/>
              <w:ind/>
              <w:jc w:val="center"/>
              <w:rPr>
                <w:rFonts w:cstheme="minorHAnsi"/>
                <w:szCs w:val="24"/>
              </w:rPr>
            </w:pPr>
            <w:r>
              <w:rPr>
                <w:rFonts w:cstheme="minorHAnsi"/>
                <w:szCs w:val="24"/>
              </w:rPr>
              <w:t xml:space="preserve">RaeJean</w:t>
            </w:r>
            <w:r>
              <w:rPr>
                <w:rFonts w:cstheme="minorHAnsi"/>
                <w:szCs w:val="24"/>
              </w:rPr>
              <w:t xml:space="preserve"> </w:t>
            </w:r>
            <w:r>
              <w:rPr>
                <w:rFonts w:cstheme="minorHAnsi"/>
                <w:szCs w:val="24"/>
              </w:rPr>
              <w:t xml:space="preserve">Belgarde</w:t>
            </w:r>
            <w:r>
              <w:rPr>
                <w:rFonts w:cstheme="minorHAnsi"/>
                <w:szCs w:val="24"/>
              </w:rPr>
            </w:r>
          </w:p>
        </w:tc>
        <w:tc>
          <w:tcPr>
            <w:shd w:val="clear" w:color="auto" w:fill="f5e7d8" w:themeFill="accent3" w:themeFillTint="33"/>
            <w:tcBorders/>
            <w:tcW w:w="2773" w:type="dxa"/>
            <w:vAlign w:val="center"/>
          </w:tcPr>
          <w:p w14:paraId="5B06A029" w14:textId="740CEDEA">
            <w:pPr>
              <w:pBdr/>
              <w:spacing w:after="40" w:before="40"/>
              <w:ind/>
              <w:jc w:val="center"/>
              <w:rPr>
                <w:rFonts w:cstheme="minorHAnsi"/>
                <w:szCs w:val="24"/>
              </w:rPr>
            </w:pPr>
            <w:r>
              <w:rPr>
                <w:rFonts w:cstheme="minorHAnsi"/>
                <w:szCs w:val="24"/>
              </w:rPr>
              <w:t xml:space="preserve">BAA Approval by </w:t>
            </w:r>
            <w:r>
              <w:rPr>
                <w:rFonts w:cstheme="minorHAnsi"/>
                <w:szCs w:val="24"/>
              </w:rPr>
              <w:t xml:space="preserve">TShip</w:t>
            </w:r>
            <w:r>
              <w:rPr>
                <w:rFonts w:cstheme="minorHAnsi"/>
                <w:szCs w:val="24"/>
              </w:rPr>
              <w:t xml:space="preserve"> Legal</w:t>
            </w:r>
            <w:r>
              <w:rPr>
                <w:rFonts w:cstheme="minorHAnsi"/>
                <w:szCs w:val="24"/>
              </w:rPr>
              <w:t xml:space="preserve"> Department</w:t>
            </w:r>
            <w:r>
              <w:rPr>
                <w:rFonts w:cstheme="minorHAnsi"/>
                <w:szCs w:val="24"/>
              </w:rPr>
            </w:r>
          </w:p>
        </w:tc>
      </w:tr>
      <w:tr>
        <w:trPr>
          <w:trHeight w:val="1340"/>
        </w:trPr>
        <w:tc>
          <w:tcPr>
            <w:shd w:val="clear" w:color="auto" w:fill="f5e7d8" w:themeFill="accent3" w:themeFillTint="33"/>
            <w:tcBorders/>
            <w:tcW w:w="3874" w:type="dxa"/>
            <w:vAlign w:val="center"/>
          </w:tcPr>
          <w:p w14:paraId="030D9652" w14:textId="15592624">
            <w:pPr>
              <w:pBdr/>
              <w:spacing w:after="40" w:before="40"/>
              <w:ind/>
              <w:rPr>
                <w:rFonts w:cstheme="minorHAnsi"/>
                <w:szCs w:val="24"/>
              </w:rPr>
            </w:pPr>
            <w:r>
              <w:rPr>
                <w:rFonts w:cstheme="minorHAnsi"/>
                <w:szCs w:val="24"/>
              </w:rPr>
              <w:t xml:space="preserve">Continue to utilize NEMHS apartments as senior living units, as is feasible with hospital staffing needs.</w:t>
            </w:r>
            <w:r>
              <w:rPr>
                <w:rFonts w:cstheme="minorHAnsi"/>
                <w:szCs w:val="24"/>
              </w:rPr>
            </w:r>
          </w:p>
        </w:tc>
        <w:tc>
          <w:tcPr>
            <w:shd w:val="clear" w:color="auto" w:fill="f5e7d8" w:themeFill="accent3" w:themeFillTint="33"/>
            <w:tcBorders/>
            <w:tcW w:w="2337" w:type="dxa"/>
            <w:vAlign w:val="center"/>
          </w:tcPr>
          <w:p w14:paraId="3B4C7DE3" w14:textId="0B4E8C4D">
            <w:pPr>
              <w:pBdr/>
              <w:spacing w:after="40" w:before="40"/>
              <w:ind/>
              <w:jc w:val="center"/>
              <w:rPr>
                <w:rFonts w:cstheme="minorHAnsi"/>
                <w:szCs w:val="24"/>
              </w:rPr>
            </w:pPr>
            <w:r>
              <w:rPr>
                <w:rFonts w:cstheme="minorHAnsi"/>
                <w:szCs w:val="24"/>
              </w:rPr>
              <w:t xml:space="preserve">Nicole Paulson</w:t>
            </w:r>
            <w:r>
              <w:rPr>
                <w:rFonts w:cstheme="minorHAnsi"/>
                <w:szCs w:val="24"/>
              </w:rPr>
            </w:r>
          </w:p>
        </w:tc>
        <w:tc>
          <w:tcPr>
            <w:shd w:val="clear" w:color="auto" w:fill="f5e7d8" w:themeFill="accent3" w:themeFillTint="33"/>
            <w:tcBorders/>
            <w:tcW w:w="1311" w:type="dxa"/>
            <w:vAlign w:val="center"/>
          </w:tcPr>
          <w:p w14:paraId="00864CDB" w14:textId="59C298B1">
            <w:pPr>
              <w:pBdr/>
              <w:spacing w:after="40" w:before="40"/>
              <w:ind/>
              <w:jc w:val="center"/>
              <w:rPr/>
            </w:pPr>
            <w:r>
              <w:rPr>
                <w:rFonts w:cstheme="minorHAnsi"/>
                <w:szCs w:val="24"/>
              </w:rPr>
              <w:t xml:space="preserve">7/01/2025</w:t>
            </w:r>
            <w:r/>
          </w:p>
        </w:tc>
        <w:tc>
          <w:tcPr>
            <w:shd w:val="clear" w:color="auto" w:fill="f5e7d8" w:themeFill="accent3" w:themeFillTint="33"/>
            <w:tcBorders/>
            <w:tcW w:w="1833" w:type="dxa"/>
            <w:vAlign w:val="center"/>
          </w:tcPr>
          <w:p w14:paraId="3B3F1A71" w14:textId="011D2E42">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7EE63352" w14:textId="7A5CAB7E">
            <w:pPr>
              <w:pBdr/>
              <w:spacing w:after="40" w:before="40"/>
              <w:ind/>
              <w:jc w:val="center"/>
              <w:rPr>
                <w:rFonts w:cstheme="minorHAnsi"/>
                <w:szCs w:val="24"/>
              </w:rPr>
            </w:pPr>
            <w:r>
              <w:rPr>
                <w:rFonts w:cstheme="minorHAnsi"/>
                <w:szCs w:val="24"/>
              </w:rPr>
              <w:t xml:space="preserve">NEMHS Facilities/</w:t>
            </w:r>
            <w:r>
              <w:rPr>
                <w:rFonts w:cstheme="minorHAnsi"/>
                <w:szCs w:val="24"/>
              </w:rPr>
              <w:t xml:space="preserve"> </w:t>
            </w:r>
            <w:r>
              <w:rPr>
                <w:rFonts w:cstheme="minorHAnsi"/>
                <w:szCs w:val="24"/>
              </w:rPr>
              <w:t xml:space="preserve">Housekeeping</w:t>
            </w:r>
            <w:r>
              <w:rPr>
                <w:rFonts w:cstheme="minorHAnsi"/>
                <w:szCs w:val="24"/>
              </w:rPr>
            </w:r>
          </w:p>
        </w:tc>
        <w:tc>
          <w:tcPr>
            <w:shd w:val="clear" w:color="auto" w:fill="f5e7d8" w:themeFill="accent3" w:themeFillTint="33"/>
            <w:tcBorders/>
            <w:tcW w:w="2773" w:type="dxa"/>
            <w:vAlign w:val="center"/>
          </w:tcPr>
          <w:p w14:paraId="604BC706" w14:textId="196895AB">
            <w:pPr>
              <w:pBdr/>
              <w:spacing w:after="40" w:before="40"/>
              <w:ind/>
              <w:jc w:val="center"/>
              <w:rPr/>
            </w:pPr>
            <w:r>
              <w:rPr>
                <w:rFonts w:cstheme="minorHAnsi"/>
                <w:szCs w:val="24"/>
              </w:rPr>
              <w:t xml:space="preserve">Apartment availability</w:t>
            </w:r>
            <w:r/>
          </w:p>
        </w:tc>
      </w:tr>
      <w:tr>
        <w:trPr>
          <w:trHeight w:val="1349"/>
        </w:trPr>
        <w:tc>
          <w:tcPr>
            <w:shd w:val="clear" w:color="auto" w:fill="f5e7d8" w:themeFill="accent3" w:themeFillTint="33"/>
            <w:tcBorders/>
            <w:tcW w:w="3874" w:type="dxa"/>
            <w:vAlign w:val="center"/>
          </w:tcPr>
          <w:p w14:paraId="0399E697" w14:textId="3DC6C47A">
            <w:pPr>
              <w:pBdr/>
              <w:spacing w:after="40" w:before="40"/>
              <w:ind/>
              <w:rPr>
                <w:rFonts w:cstheme="minorHAnsi"/>
                <w:szCs w:val="24"/>
              </w:rPr>
            </w:pPr>
            <w:r>
              <w:rPr>
                <w:rFonts w:cstheme="minorHAnsi"/>
                <w:szCs w:val="24"/>
              </w:rPr>
              <w:t xml:space="preserve">Explore how to schedule and stagger providers and other staff to make appointments more available and wait times less lengthy.</w:t>
            </w:r>
            <w:r>
              <w:rPr>
                <w:rFonts w:cstheme="minorHAnsi"/>
                <w:szCs w:val="24"/>
              </w:rPr>
            </w:r>
          </w:p>
        </w:tc>
        <w:tc>
          <w:tcPr>
            <w:shd w:val="clear" w:color="auto" w:fill="f5e7d8" w:themeFill="accent3" w:themeFillTint="33"/>
            <w:tcBorders/>
            <w:tcW w:w="2337" w:type="dxa"/>
            <w:vAlign w:val="center"/>
          </w:tcPr>
          <w:p w14:paraId="6E8ECC28" w14:textId="77777777">
            <w:pPr>
              <w:pBdr/>
              <w:spacing w:after="40" w:before="40"/>
              <w:ind/>
              <w:jc w:val="center"/>
              <w:rPr>
                <w:rFonts w:cstheme="minorHAnsi"/>
                <w:szCs w:val="24"/>
              </w:rPr>
            </w:pPr>
            <w:r>
              <w:rPr>
                <w:rFonts w:cstheme="minorHAnsi"/>
                <w:szCs w:val="24"/>
              </w:rPr>
              <w:t xml:space="preserve">Lauri Handy</w:t>
            </w:r>
            <w:r>
              <w:rPr>
                <w:rFonts w:cstheme="minorHAnsi"/>
                <w:szCs w:val="24"/>
              </w:rPr>
              <w:t xml:space="preserve"> &amp; </w:t>
            </w:r>
            <w:r>
              <w:rPr>
                <w:rFonts w:cstheme="minorHAnsi"/>
                <w:szCs w:val="24"/>
              </w:rPr>
            </w:r>
          </w:p>
          <w:p w14:paraId="422FE960" w14:textId="6B9C845D">
            <w:pPr>
              <w:pBdr/>
              <w:spacing w:after="40" w:before="40"/>
              <w:ind/>
              <w:jc w:val="center"/>
              <w:rPr>
                <w:rFonts w:cstheme="minorHAnsi"/>
                <w:szCs w:val="24"/>
              </w:rPr>
            </w:pPr>
            <w:r>
              <w:rPr>
                <w:rFonts w:cstheme="minorHAnsi"/>
                <w:szCs w:val="24"/>
              </w:rPr>
              <w:t xml:space="preserve">Gina </w:t>
            </w:r>
            <w:r>
              <w:rPr>
                <w:rFonts w:cstheme="minorHAnsi"/>
                <w:szCs w:val="24"/>
              </w:rPr>
              <w:t xml:space="preserve">Nefzger</w:t>
            </w:r>
            <w:r>
              <w:rPr>
                <w:rFonts w:cstheme="minorHAnsi"/>
                <w:szCs w:val="24"/>
              </w:rPr>
            </w:r>
          </w:p>
        </w:tc>
        <w:tc>
          <w:tcPr>
            <w:shd w:val="clear" w:color="auto" w:fill="f5e7d8" w:themeFill="accent3" w:themeFillTint="33"/>
            <w:tcBorders/>
            <w:tcW w:w="1311" w:type="dxa"/>
            <w:vAlign w:val="center"/>
          </w:tcPr>
          <w:p w14:paraId="4318DC65" w14:textId="5C429304">
            <w:pPr>
              <w:pBdr/>
              <w:spacing w:after="40" w:before="40"/>
              <w:ind/>
              <w:jc w:val="center"/>
              <w:rPr/>
            </w:pPr>
            <w:r>
              <w:rPr>
                <w:rFonts w:cstheme="minorHAnsi"/>
                <w:szCs w:val="24"/>
              </w:rPr>
              <w:t xml:space="preserve">7/01/2025</w:t>
            </w:r>
            <w:r/>
          </w:p>
        </w:tc>
        <w:tc>
          <w:tcPr>
            <w:shd w:val="clear" w:color="auto" w:fill="f5e7d8" w:themeFill="accent3" w:themeFillTint="33"/>
            <w:tcBorders/>
            <w:tcW w:w="1833" w:type="dxa"/>
            <w:vAlign w:val="center"/>
          </w:tcPr>
          <w:p w14:paraId="2BCBE456" w14:textId="6F57ECE1">
            <w:pPr>
              <w:pBdr/>
              <w:spacing w:after="40" w:before="40"/>
              <w:ind/>
              <w:jc w:val="center"/>
              <w:rPr>
                <w:rFonts w:cstheme="minorHAnsi"/>
                <w:szCs w:val="24"/>
              </w:rPr>
            </w:pPr>
            <w:r>
              <w:rPr>
                <w:rFonts w:cstheme="minorHAnsi"/>
                <w:szCs w:val="24"/>
              </w:rPr>
              <w:t xml:space="preserve">Roger Fisher and NEMHS Providers</w:t>
            </w:r>
            <w:r>
              <w:rPr>
                <w:rFonts w:cstheme="minorHAnsi"/>
                <w:szCs w:val="24"/>
              </w:rPr>
            </w:r>
          </w:p>
        </w:tc>
        <w:tc>
          <w:tcPr>
            <w:shd w:val="clear" w:color="auto" w:fill="f5e7d8" w:themeFill="accent3" w:themeFillTint="33"/>
            <w:tcBorders/>
            <w:tcW w:w="2006" w:type="dxa"/>
            <w:vAlign w:val="center"/>
          </w:tcPr>
          <w:p w14:paraId="48038252" w14:textId="0AB7A78C">
            <w:pPr>
              <w:pBdr/>
              <w:spacing w:after="40" w:before="40"/>
              <w:ind/>
              <w:jc w:val="center"/>
              <w:rPr>
                <w:rFonts w:cstheme="minorHAnsi"/>
                <w:szCs w:val="24"/>
              </w:rPr>
            </w:pPr>
            <w:r>
              <w:rPr>
                <w:rFonts w:cstheme="minorHAnsi"/>
                <w:szCs w:val="24"/>
              </w:rPr>
              <w:t xml:space="preserve">NEMHS Providers</w:t>
            </w:r>
            <w:r>
              <w:rPr>
                <w:rFonts w:cstheme="minorHAnsi"/>
                <w:szCs w:val="24"/>
              </w:rPr>
            </w:r>
          </w:p>
        </w:tc>
        <w:tc>
          <w:tcPr>
            <w:shd w:val="clear" w:color="auto" w:fill="f5e7d8" w:themeFill="accent3" w:themeFillTint="33"/>
            <w:tcBorders/>
            <w:tcW w:w="2773" w:type="dxa"/>
            <w:vAlign w:val="center"/>
          </w:tcPr>
          <w:p w14:paraId="49AB5DC7" w14:textId="010EEEC0">
            <w:pPr>
              <w:pBdr/>
              <w:spacing w:after="40" w:before="40"/>
              <w:ind/>
              <w:jc w:val="center"/>
              <w:rPr/>
            </w:pPr>
            <w:r>
              <w:rPr>
                <w:rFonts w:cstheme="minorHAnsi"/>
                <w:szCs w:val="24"/>
              </w:rPr>
              <w:t xml:space="preserve">Provider </w:t>
            </w:r>
            <w:r>
              <w:rPr>
                <w:rFonts w:cstheme="minorHAnsi"/>
                <w:szCs w:val="24"/>
              </w:rPr>
              <w:t xml:space="preserve">&amp; staff </w:t>
            </w:r>
            <w:r>
              <w:rPr>
                <w:rFonts w:cstheme="minorHAnsi"/>
                <w:szCs w:val="24"/>
              </w:rPr>
              <w:t xml:space="preserve">availability plus NEMHS financial constraints</w:t>
            </w:r>
            <w:r/>
          </w:p>
        </w:tc>
      </w:tr>
      <w:tr>
        <w:trPr>
          <w:trHeight w:val="1152"/>
        </w:trPr>
        <w:tc>
          <w:tcPr>
            <w:shd w:val="clear" w:color="auto" w:fill="f5e7d8" w:themeFill="accent3" w:themeFillTint="33"/>
            <w:tcBorders/>
            <w:tcW w:w="3874" w:type="dxa"/>
            <w:vAlign w:val="center"/>
          </w:tcPr>
          <w:p w14:paraId="0E2CC112" w14:textId="3BA59F98">
            <w:pPr>
              <w:pBdr/>
              <w:spacing w:after="40" w:before="40"/>
              <w:ind/>
              <w:rPr>
                <w:rFonts w:cstheme="minorHAnsi"/>
                <w:szCs w:val="24"/>
              </w:rPr>
            </w:pPr>
            <w:r>
              <w:rPr>
                <w:rFonts w:cstheme="minorHAnsi"/>
                <w:szCs w:val="24"/>
              </w:rPr>
              <w:t xml:space="preserve">Explore feasibility of expanding clinic hours to bolster appointment availability and lessen wait times.</w:t>
            </w:r>
            <w:r>
              <w:rPr>
                <w:rFonts w:cstheme="minorHAnsi"/>
                <w:szCs w:val="24"/>
              </w:rPr>
            </w:r>
          </w:p>
        </w:tc>
        <w:tc>
          <w:tcPr>
            <w:shd w:val="clear" w:color="auto" w:fill="f5e7d8" w:themeFill="accent3" w:themeFillTint="33"/>
            <w:tcBorders/>
            <w:tcW w:w="2337" w:type="dxa"/>
            <w:vAlign w:val="center"/>
          </w:tcPr>
          <w:p w14:paraId="31A5AE3C" w14:textId="77777777">
            <w:pPr>
              <w:pBdr/>
              <w:spacing w:after="40" w:before="40"/>
              <w:ind/>
              <w:jc w:val="center"/>
              <w:rPr>
                <w:rFonts w:cstheme="minorHAnsi"/>
                <w:szCs w:val="24"/>
              </w:rPr>
            </w:pPr>
            <w:r>
              <w:rPr>
                <w:rFonts w:cstheme="minorHAnsi"/>
                <w:szCs w:val="24"/>
              </w:rPr>
              <w:t xml:space="preserve">Lauri Handy &amp; </w:t>
            </w:r>
            <w:r>
              <w:rPr>
                <w:rFonts w:cstheme="minorHAnsi"/>
                <w:szCs w:val="24"/>
              </w:rPr>
            </w:r>
          </w:p>
          <w:p w14:paraId="65F77826" w14:textId="773B1BC8">
            <w:pPr>
              <w:pBdr/>
              <w:spacing w:after="40" w:before="40"/>
              <w:ind/>
              <w:jc w:val="center"/>
              <w:rPr>
                <w:rFonts w:cstheme="minorHAnsi"/>
                <w:szCs w:val="24"/>
              </w:rPr>
            </w:pPr>
            <w:r>
              <w:rPr>
                <w:rFonts w:cstheme="minorHAnsi"/>
                <w:szCs w:val="24"/>
              </w:rPr>
              <w:t xml:space="preserve">Gina </w:t>
            </w:r>
            <w:r>
              <w:rPr>
                <w:rFonts w:cstheme="minorHAnsi"/>
                <w:szCs w:val="24"/>
              </w:rPr>
              <w:t xml:space="preserve">Nefzger</w:t>
            </w:r>
            <w:r>
              <w:rPr>
                <w:rFonts w:cstheme="minorHAnsi"/>
                <w:szCs w:val="24"/>
              </w:rPr>
            </w:r>
          </w:p>
        </w:tc>
        <w:tc>
          <w:tcPr>
            <w:shd w:val="clear" w:color="auto" w:fill="f5e7d8" w:themeFill="accent3" w:themeFillTint="33"/>
            <w:tcBorders/>
            <w:tcW w:w="1311" w:type="dxa"/>
            <w:vAlign w:val="center"/>
          </w:tcPr>
          <w:p w14:paraId="61C934E0" w14:textId="4CC6FEB3">
            <w:pPr>
              <w:pBdr/>
              <w:spacing w:after="40" w:before="40"/>
              <w:ind/>
              <w:jc w:val="center"/>
              <w:rPr/>
            </w:pPr>
            <w:r>
              <w:rPr>
                <w:rFonts w:cstheme="minorHAnsi"/>
                <w:szCs w:val="24"/>
              </w:rPr>
              <w:t xml:space="preserve">7/01/2025</w:t>
            </w:r>
            <w:r/>
          </w:p>
        </w:tc>
        <w:tc>
          <w:tcPr>
            <w:shd w:val="clear" w:color="auto" w:fill="f5e7d8" w:themeFill="accent3" w:themeFillTint="33"/>
            <w:tcBorders/>
            <w:tcW w:w="1833" w:type="dxa"/>
            <w:vAlign w:val="center"/>
          </w:tcPr>
          <w:p w14:paraId="7EFE64DD" w14:textId="1160D811">
            <w:pPr>
              <w:pBdr/>
              <w:spacing w:after="40" w:before="40"/>
              <w:ind/>
              <w:jc w:val="center"/>
              <w:rPr>
                <w:rFonts w:cstheme="minorHAnsi"/>
                <w:szCs w:val="24"/>
              </w:rPr>
            </w:pPr>
            <w:r>
              <w:rPr>
                <w:rFonts w:cstheme="minorHAnsi"/>
                <w:szCs w:val="24"/>
              </w:rPr>
              <w:t xml:space="preserve">Roger Fisher and NEMHS Providers</w:t>
            </w:r>
            <w:r>
              <w:rPr>
                <w:rFonts w:cstheme="minorHAnsi"/>
                <w:szCs w:val="24"/>
              </w:rPr>
            </w:r>
          </w:p>
        </w:tc>
        <w:tc>
          <w:tcPr>
            <w:shd w:val="clear" w:color="auto" w:fill="f5e7d8" w:themeFill="accent3" w:themeFillTint="33"/>
            <w:tcBorders/>
            <w:tcW w:w="2006" w:type="dxa"/>
            <w:vAlign w:val="center"/>
          </w:tcPr>
          <w:p w14:paraId="00707D48" w14:textId="0F2F3938">
            <w:pPr>
              <w:pBdr/>
              <w:spacing w:after="40" w:before="40"/>
              <w:ind/>
              <w:jc w:val="center"/>
              <w:rPr>
                <w:rFonts w:cstheme="minorHAnsi"/>
                <w:szCs w:val="24"/>
              </w:rPr>
            </w:pPr>
            <w:r>
              <w:rPr>
                <w:rFonts w:cstheme="minorHAnsi"/>
                <w:szCs w:val="24"/>
              </w:rPr>
              <w:t xml:space="preserve">NEMHS Providers &amp; Clinic Support Staff</w:t>
            </w:r>
            <w:r>
              <w:rPr>
                <w:rFonts w:cstheme="minorHAnsi"/>
                <w:szCs w:val="24"/>
              </w:rPr>
            </w:r>
          </w:p>
        </w:tc>
        <w:tc>
          <w:tcPr>
            <w:shd w:val="clear" w:color="auto" w:fill="f5e7d8" w:themeFill="accent3" w:themeFillTint="33"/>
            <w:tcBorders/>
            <w:tcW w:w="2773" w:type="dxa"/>
            <w:vAlign w:val="center"/>
          </w:tcPr>
          <w:p w14:paraId="16862A26" w14:textId="58B645CE">
            <w:pPr>
              <w:pBdr/>
              <w:spacing w:after="40" w:before="40"/>
              <w:ind/>
              <w:jc w:val="center"/>
              <w:rPr/>
            </w:pPr>
            <w:r>
              <w:rPr>
                <w:rFonts w:cstheme="minorHAnsi"/>
                <w:szCs w:val="24"/>
              </w:rPr>
              <w:t xml:space="preserve">Provider</w:t>
            </w:r>
            <w:r>
              <w:rPr>
                <w:rFonts w:cstheme="minorHAnsi"/>
                <w:szCs w:val="24"/>
              </w:rPr>
              <w:t xml:space="preserve"> &amp; staff</w:t>
            </w:r>
            <w:r>
              <w:rPr>
                <w:rFonts w:cstheme="minorHAnsi"/>
                <w:szCs w:val="24"/>
              </w:rPr>
              <w:t xml:space="preserve"> availability plus NEMHS financial constraints</w:t>
            </w:r>
            <w:r/>
          </w:p>
        </w:tc>
      </w:tr>
      <w:tr>
        <w:trPr>
          <w:trHeight w:val="3410"/>
        </w:trPr>
        <w:tc>
          <w:tcPr>
            <w:gridSpan w:val="6"/>
            <w:shd w:val="clear" w:color="auto" w:fill="f5e7d8" w:themeFill="accent3" w:themeFillTint="33"/>
            <w:tcBorders/>
            <w:tcW w:w="14134" w:type="dxa"/>
            <w:vAlign w:val="center"/>
          </w:tcPr>
          <w:p w14:paraId="3E10A42D" w14:textId="4CFF518A">
            <w:pPr>
              <w:pBdr/>
              <w:spacing/>
              <w:ind/>
              <w:rPr>
                <w:rFonts w:cstheme="minorHAnsi"/>
                <w:b/>
                <w:szCs w:val="24"/>
              </w:rPr>
            </w:pPr>
            <w:r>
              <w:rPr>
                <w:rFonts w:cstheme="minorHAnsi"/>
                <w:b/>
                <w:szCs w:val="24"/>
              </w:rPr>
              <w:t xml:space="preserve">Needs Being Addressed by this Strategy:</w:t>
            </w:r>
            <w:r>
              <w:rPr>
                <w:rFonts w:cstheme="minorHAnsi"/>
                <w:b/>
                <w:szCs w:val="24"/>
              </w:rPr>
            </w:r>
          </w:p>
          <w:p w14:paraId="735FBA67" w14:textId="5FD65D02">
            <w:pPr>
              <w:pStyle w:val="1145"/>
              <w:numPr>
                <w:ilvl w:val="0"/>
                <w:numId w:val="15"/>
              </w:numPr>
              <w:pBdr/>
              <w:spacing/>
              <w:ind/>
              <w:rPr>
                <w:rFonts w:cstheme="minorHAnsi"/>
                <w:bCs/>
                <w:szCs w:val="24"/>
              </w:rPr>
            </w:pPr>
            <w:r>
              <w:t xml:space="preserve">1. 62% of respondents rated the general health of the community as “Unhealthy.”</w:t>
            </w:r>
            <w:r>
              <w:rPr>
                <w:rFonts w:cstheme="minorHAnsi"/>
                <w:bCs/>
                <w:szCs w:val="24"/>
              </w:rPr>
            </w:r>
          </w:p>
          <w:p w14:paraId="603CE00D" w14:textId="2A0A8524">
            <w:pPr>
              <w:pStyle w:val="1145"/>
              <w:numPr>
                <w:ilvl w:val="0"/>
                <w:numId w:val="15"/>
              </w:numPr>
              <w:pBdr/>
              <w:spacing/>
              <w:ind/>
              <w:rPr>
                <w:rFonts w:cstheme="minorHAnsi"/>
                <w:bCs/>
                <w:szCs w:val="24"/>
              </w:rPr>
            </w:pPr>
            <w:r>
              <w:rPr>
                <w:rFonts w:cstheme="minorHAnsi"/>
                <w:bCs/>
                <w:szCs w:val="24"/>
              </w:rPr>
              <w:t xml:space="preserve">3. “Healthy behaviors and lifestyles” and “Access to healthcare and other services” are the two most important things for a healthy community.  </w:t>
            </w:r>
            <w:r>
              <w:rPr>
                <w:rFonts w:cstheme="minorHAnsi"/>
                <w:bCs/>
                <w:szCs w:val="24"/>
              </w:rPr>
            </w:r>
          </w:p>
          <w:p w14:paraId="1A6C4870" w14:textId="1D5BFDAB">
            <w:pPr>
              <w:pStyle w:val="1145"/>
              <w:numPr>
                <w:ilvl w:val="0"/>
                <w:numId w:val="15"/>
              </w:numPr>
              <w:pBdr/>
              <w:spacing/>
              <w:ind/>
              <w:rPr>
                <w:rFonts w:cstheme="minorHAnsi"/>
                <w:bCs/>
                <w:szCs w:val="24"/>
              </w:rPr>
            </w:pPr>
            <w:r>
              <w:rPr>
                <w:rFonts w:cstheme="minorHAnsi"/>
                <w:bCs/>
                <w:szCs w:val="24"/>
              </w:rPr>
              <w:t xml:space="preserve">5. 44% of respondents indicated that they delayed receiving medical services; the top reasons were “Too long to wait for an appointment,” “Could not get an appointment,” and “It cost too much.”</w:t>
            </w:r>
            <w:r>
              <w:rPr>
                <w:rFonts w:cstheme="minorHAnsi"/>
                <w:bCs/>
                <w:szCs w:val="24"/>
              </w:rPr>
            </w:r>
          </w:p>
          <w:p w14:paraId="52B42F83" w14:textId="7768B512">
            <w:pPr>
              <w:pStyle w:val="1145"/>
              <w:numPr>
                <w:ilvl w:val="0"/>
                <w:numId w:val="15"/>
              </w:numPr>
              <w:pBdr/>
              <w:spacing/>
              <w:ind/>
              <w:rPr>
                <w:rFonts w:cstheme="minorHAnsi"/>
                <w:bCs/>
                <w:szCs w:val="24"/>
              </w:rPr>
            </w:pPr>
            <w:r>
              <w:rPr>
                <w:rFonts w:cstheme="minorHAnsi"/>
                <w:bCs/>
                <w:szCs w:val="24"/>
              </w:rPr>
              <w:t xml:space="preserve">10. 89% of respondents saw a primary care provider, and 63% stayed in Poplar/Wolf Point for that care. </w:t>
            </w:r>
            <w:r>
              <w:rPr>
                <w:rFonts w:cstheme="minorHAnsi"/>
                <w:bCs/>
                <w:szCs w:val="24"/>
              </w:rPr>
            </w:r>
          </w:p>
          <w:p w14:paraId="3D6B982F" w14:textId="2DBA7034">
            <w:pPr>
              <w:pStyle w:val="1145"/>
              <w:numPr>
                <w:ilvl w:val="0"/>
                <w:numId w:val="15"/>
              </w:numPr>
              <w:pBdr/>
              <w:spacing/>
              <w:ind/>
              <w:rPr>
                <w:rFonts w:cstheme="minorHAnsi"/>
                <w:bCs/>
                <w:szCs w:val="24"/>
              </w:rPr>
            </w:pPr>
            <w:r>
              <w:rPr>
                <w:rFonts w:cstheme="minorHAnsi"/>
                <w:bCs/>
                <w:szCs w:val="24"/>
              </w:rPr>
              <w:t xml:space="preserve">15. 123% of respondents said cost had been a barrier to getting their prescription or medication.</w:t>
            </w:r>
            <w:r>
              <w:rPr>
                <w:rFonts w:cstheme="minorHAnsi"/>
                <w:bCs/>
                <w:szCs w:val="24"/>
              </w:rPr>
            </w:r>
          </w:p>
          <w:p w14:paraId="63BA1E2F" w14:textId="0D0EC14D">
            <w:pPr>
              <w:pStyle w:val="1145"/>
              <w:numPr>
                <w:ilvl w:val="0"/>
                <w:numId w:val="15"/>
              </w:numPr>
              <w:pBdr/>
              <w:spacing/>
              <w:ind/>
              <w:rPr>
                <w:rFonts w:cstheme="minorHAnsi"/>
                <w:bCs/>
                <w:szCs w:val="24"/>
              </w:rPr>
            </w:pPr>
            <w:r>
              <w:rPr>
                <w:rFonts w:cstheme="minorHAnsi"/>
                <w:bCs/>
                <w:szCs w:val="24"/>
              </w:rPr>
              <w:t xml:space="preserve">16. 14% of respondents indicated that they have Medicare coverage. </w:t>
            </w:r>
            <w:r>
              <w:rPr>
                <w:rFonts w:cstheme="minorHAnsi"/>
                <w:bCs/>
                <w:szCs w:val="24"/>
              </w:rPr>
            </w:r>
          </w:p>
          <w:p w14:paraId="36BFAE00" w14:textId="77777777">
            <w:pPr>
              <w:pStyle w:val="1145"/>
              <w:numPr>
                <w:ilvl w:val="0"/>
                <w:numId w:val="15"/>
              </w:numPr>
              <w:pBdr/>
              <w:spacing/>
              <w:ind/>
              <w:rPr>
                <w:rFonts w:cstheme="minorHAnsi"/>
                <w:bCs/>
                <w:szCs w:val="24"/>
              </w:rPr>
            </w:pPr>
            <w:r>
              <w:rPr>
                <w:rFonts w:cstheme="minorHAnsi"/>
                <w:bCs/>
                <w:szCs w:val="24"/>
              </w:rPr>
              <w:t xml:space="preserve">17. All respondents who did not have health insurance cited cost as the reason for their lack of coverage. </w:t>
            </w:r>
            <w:r>
              <w:rPr>
                <w:rFonts w:cstheme="minorHAnsi"/>
                <w:bCs/>
                <w:szCs w:val="24"/>
              </w:rPr>
            </w:r>
          </w:p>
          <w:p w14:paraId="4A84151A" w14:textId="3597429B">
            <w:pPr>
              <w:pStyle w:val="1145"/>
              <w:numPr>
                <w:ilvl w:val="0"/>
                <w:numId w:val="15"/>
              </w:numPr>
              <w:pBdr/>
              <w:spacing/>
              <w:ind/>
              <w:rPr>
                <w:rFonts w:cstheme="minorHAnsi"/>
                <w:bCs/>
                <w:szCs w:val="24"/>
              </w:rPr>
            </w:pPr>
            <w:r>
              <w:rPr>
                <w:rFonts w:cstheme="minorHAnsi"/>
                <w:bCs/>
                <w:szCs w:val="24"/>
              </w:rPr>
              <w:t xml:space="preserve">18. Community members voiced the need for more safe and affordable senior living options. </w:t>
            </w:r>
            <w:r>
              <w:rPr>
                <w:rFonts w:cstheme="minorHAnsi"/>
                <w:bCs/>
                <w:szCs w:val="24"/>
              </w:rPr>
            </w:r>
          </w:p>
        </w:tc>
      </w:tr>
      <w:tr>
        <w:trPr>
          <w:trHeight w:val="1790"/>
        </w:trPr>
        <w:tc>
          <w:tcPr>
            <w:gridSpan w:val="6"/>
            <w:shd w:val="clear" w:color="auto" w:fill="f5e7d8" w:themeFill="accent3" w:themeFillTint="33"/>
            <w:tcBorders/>
            <w:tcW w:w="14134" w:type="dxa"/>
            <w:vAlign w:val="center"/>
          </w:tcPr>
          <w:p w14:paraId="1E888D80" w14:textId="77777777">
            <w:pPr>
              <w:pBdr/>
              <w:spacing w:line="276" w:lineRule="auto"/>
              <w:ind/>
              <w:rPr>
                <w:rFonts w:cstheme="minorHAnsi"/>
                <w:b/>
                <w:szCs w:val="24"/>
              </w:rPr>
            </w:pPr>
            <w:r>
              <w:rPr>
                <w:rFonts w:cstheme="minorHAnsi"/>
                <w:b/>
                <w:szCs w:val="24"/>
              </w:rPr>
              <w:t xml:space="preserve">Anticipated Impact(s) of these Activities:</w:t>
            </w:r>
            <w:r>
              <w:rPr>
                <w:rFonts w:cstheme="minorHAnsi"/>
                <w:b/>
                <w:szCs w:val="24"/>
              </w:rPr>
            </w:r>
          </w:p>
          <w:p w14:paraId="508B6F00" w14:textId="23356A1D">
            <w:pPr>
              <w:pStyle w:val="1145"/>
              <w:numPr>
                <w:ilvl w:val="0"/>
                <w:numId w:val="2"/>
              </w:numPr>
              <w:pBdr/>
              <w:spacing w:line="276" w:lineRule="auto"/>
              <w:ind/>
              <w:rPr>
                <w:rFonts w:cstheme="minorHAnsi"/>
                <w:szCs w:val="24"/>
              </w:rPr>
            </w:pPr>
            <w:r>
              <w:rPr>
                <w:rFonts w:cstheme="minorHAnsi"/>
                <w:szCs w:val="24"/>
              </w:rPr>
              <w:t xml:space="preserve">Increased access to Medicaid coverage</w:t>
            </w:r>
            <w:r>
              <w:rPr>
                <w:rFonts w:cstheme="minorHAnsi"/>
                <w:szCs w:val="24"/>
              </w:rPr>
            </w:r>
          </w:p>
          <w:p w14:paraId="22559978" w14:textId="3B18A769">
            <w:pPr>
              <w:pStyle w:val="1145"/>
              <w:numPr>
                <w:ilvl w:val="0"/>
                <w:numId w:val="2"/>
              </w:numPr>
              <w:pBdr/>
              <w:spacing w:line="276" w:lineRule="auto"/>
              <w:ind/>
              <w:rPr>
                <w:rFonts w:cstheme="minorHAnsi"/>
                <w:szCs w:val="24"/>
              </w:rPr>
            </w:pPr>
            <w:r>
              <w:rPr>
                <w:rFonts w:cstheme="minorHAnsi"/>
                <w:szCs w:val="24"/>
              </w:rPr>
              <w:t xml:space="preserve">Increased senior living options</w:t>
            </w:r>
            <w:r>
              <w:rPr>
                <w:rFonts w:cstheme="minorHAnsi"/>
                <w:szCs w:val="24"/>
              </w:rPr>
            </w:r>
          </w:p>
          <w:p w14:paraId="78CE57D2" w14:textId="06E31438">
            <w:pPr>
              <w:pStyle w:val="1145"/>
              <w:numPr>
                <w:ilvl w:val="0"/>
                <w:numId w:val="2"/>
              </w:numPr>
              <w:pBdr/>
              <w:spacing w:line="276" w:lineRule="auto"/>
              <w:ind/>
              <w:rPr>
                <w:rFonts w:cstheme="minorHAnsi"/>
                <w:szCs w:val="24"/>
              </w:rPr>
            </w:pPr>
            <w:r>
              <w:t xml:space="preserve">Improved health outcomes</w:t>
            </w:r>
            <w:r>
              <w:rPr>
                <w:rFonts w:cstheme="minorHAnsi"/>
                <w:szCs w:val="24"/>
              </w:rPr>
            </w:r>
          </w:p>
          <w:p w14:paraId="366CFB3A" w14:textId="77777777">
            <w:pPr>
              <w:pStyle w:val="1145"/>
              <w:numPr>
                <w:ilvl w:val="0"/>
                <w:numId w:val="2"/>
              </w:numPr>
              <w:pBdr/>
              <w:spacing w:line="276" w:lineRule="auto"/>
              <w:ind/>
              <w:rPr>
                <w:rFonts w:cstheme="minorHAnsi"/>
                <w:szCs w:val="24"/>
              </w:rPr>
            </w:pPr>
            <w:r>
              <w:t xml:space="preserve">Increased local collaboration</w:t>
            </w:r>
            <w:r>
              <w:rPr>
                <w:rFonts w:cstheme="minorHAnsi"/>
                <w:szCs w:val="24"/>
              </w:rPr>
            </w:r>
          </w:p>
          <w:p w14:paraId="35707990" w14:textId="77777777">
            <w:pPr>
              <w:pStyle w:val="1145"/>
              <w:numPr>
                <w:ilvl w:val="0"/>
                <w:numId w:val="2"/>
              </w:numPr>
              <w:pBdr/>
              <w:spacing w:line="276" w:lineRule="auto"/>
              <w:ind/>
              <w:rPr>
                <w:rFonts w:cstheme="minorHAnsi"/>
                <w:szCs w:val="24"/>
              </w:rPr>
            </w:pPr>
            <w:r>
              <w:t xml:space="preserve">Improved patient experience</w:t>
            </w:r>
            <w:r>
              <w:rPr>
                <w:rFonts w:cstheme="minorHAnsi"/>
                <w:szCs w:val="24"/>
              </w:rPr>
            </w:r>
          </w:p>
          <w:p w14:paraId="1B616B58" w14:textId="77777777">
            <w:pPr>
              <w:pStyle w:val="1145"/>
              <w:numPr>
                <w:ilvl w:val="0"/>
                <w:numId w:val="2"/>
              </w:numPr>
              <w:pBdr/>
              <w:spacing w:line="276" w:lineRule="auto"/>
              <w:ind/>
              <w:rPr>
                <w:rFonts w:cstheme="minorHAnsi"/>
                <w:szCs w:val="24"/>
              </w:rPr>
            </w:pPr>
            <w:r>
              <w:t xml:space="preserve">Increased access to healthcare services</w:t>
            </w:r>
            <w:r>
              <w:rPr>
                <w:rFonts w:cstheme="minorHAnsi"/>
                <w:szCs w:val="24"/>
              </w:rPr>
            </w:r>
          </w:p>
          <w:p w14:paraId="05D4859F" w14:textId="700F41E8">
            <w:pPr>
              <w:pStyle w:val="1145"/>
              <w:numPr>
                <w:ilvl w:val="0"/>
                <w:numId w:val="2"/>
              </w:numPr>
              <w:pBdr/>
              <w:spacing w:line="276" w:lineRule="auto"/>
              <w:ind/>
              <w:rPr>
                <w:rFonts w:cstheme="minorHAnsi"/>
                <w:szCs w:val="24"/>
              </w:rPr>
            </w:pPr>
            <w:r>
              <w:t xml:space="preserve">Increased appointment availability</w:t>
            </w:r>
            <w:r>
              <w:rPr>
                <w:rFonts w:cstheme="minorHAnsi"/>
                <w:szCs w:val="24"/>
              </w:rPr>
            </w:r>
          </w:p>
        </w:tc>
      </w:tr>
      <w:tr>
        <w:trPr>
          <w:trHeight w:val="2150"/>
        </w:trPr>
        <w:tc>
          <w:tcPr>
            <w:gridSpan w:val="6"/>
            <w:shd w:val="clear" w:color="auto" w:fill="f5e7d8" w:themeFill="accent3" w:themeFillTint="33"/>
            <w:tcBorders/>
            <w:tcW w:w="14134" w:type="dxa"/>
            <w:vAlign w:val="center"/>
          </w:tcPr>
          <w:p w14:paraId="186CAE18" w14:textId="77777777">
            <w:pPr>
              <w:pBdr/>
              <w:spacing w:line="276" w:lineRule="auto"/>
              <w:ind/>
              <w:rPr>
                <w:rFonts w:cstheme="minorHAnsi"/>
                <w:b/>
                <w:szCs w:val="24"/>
              </w:rPr>
            </w:pPr>
            <w:r>
              <w:rPr>
                <w:rFonts w:cstheme="minorHAnsi"/>
                <w:b/>
                <w:szCs w:val="24"/>
              </w:rPr>
              <w:t xml:space="preserve">Plan to Evaluate Anticipated Impact(s) of these Activities:</w:t>
            </w:r>
            <w:r>
              <w:rPr>
                <w:rFonts w:cstheme="minorHAnsi"/>
                <w:b/>
                <w:szCs w:val="24"/>
              </w:rPr>
            </w:r>
          </w:p>
          <w:p w14:paraId="598CBCAF" w14:textId="77777777">
            <w:pPr>
              <w:pStyle w:val="1145"/>
              <w:numPr>
                <w:ilvl w:val="0"/>
                <w:numId w:val="2"/>
              </w:numPr>
              <w:pBdr/>
              <w:spacing w:line="276" w:lineRule="auto"/>
              <w:ind/>
              <w:rPr/>
            </w:pPr>
            <w:r>
              <w:t xml:space="preserve">Document coordination with </w:t>
            </w:r>
            <w:r>
              <w:t xml:space="preserve">TShip</w:t>
            </w:r>
            <w:r>
              <w:t xml:space="preserve"> program and assistance with space and software</w:t>
            </w:r>
            <w:r/>
          </w:p>
          <w:p w14:paraId="35059FA9" w14:textId="77777777">
            <w:pPr>
              <w:pStyle w:val="1145"/>
              <w:numPr>
                <w:ilvl w:val="0"/>
                <w:numId w:val="2"/>
              </w:numPr>
              <w:pBdr/>
              <w:spacing w:line="276" w:lineRule="auto"/>
              <w:ind/>
              <w:rPr/>
            </w:pPr>
            <w:r>
              <w:t xml:space="preserve">Track utilization of seniors living in NEMHS apartments</w:t>
            </w:r>
            <w:r/>
          </w:p>
          <w:p w14:paraId="74B1CF2D" w14:textId="77777777">
            <w:pPr>
              <w:pStyle w:val="1145"/>
              <w:numPr>
                <w:ilvl w:val="0"/>
                <w:numId w:val="2"/>
              </w:numPr>
              <w:pBdr/>
              <w:spacing w:line="276" w:lineRule="auto"/>
              <w:ind/>
              <w:rPr/>
            </w:pPr>
            <w:r>
              <w:t xml:space="preserve">Document examination of provider and staff schedules and efforts to increase appointment availability </w:t>
            </w:r>
            <w:r/>
          </w:p>
          <w:p w14:paraId="784735E4" w14:textId="669932CB">
            <w:pPr>
              <w:pStyle w:val="1145"/>
              <w:numPr>
                <w:ilvl w:val="0"/>
                <w:numId w:val="2"/>
              </w:numPr>
              <w:pBdr/>
              <w:spacing w:line="276" w:lineRule="auto"/>
              <w:ind/>
              <w:rPr/>
            </w:pPr>
            <w:r>
              <w:t xml:space="preserve">Document exploration of expanding clinic hours</w:t>
            </w:r>
            <w:r/>
          </w:p>
        </w:tc>
      </w:tr>
      <w:tr>
        <w:trPr>
          <w:trHeight w:val="512"/>
        </w:trPr>
        <w:tc>
          <w:tcPr>
            <w:gridSpan w:val="6"/>
            <w:shd w:val="clear" w:color="auto" w:fill="f5e7d8" w:themeFill="accent3" w:themeFillTint="33"/>
            <w:tcBorders/>
            <w:tcW w:w="14134" w:type="dxa"/>
            <w:vAlign w:val="center"/>
          </w:tcPr>
          <w:p w14:paraId="075A4F24" w14:textId="04A09347">
            <w:pPr>
              <w:pBdr/>
              <w:spacing/>
              <w:ind/>
              <w:rPr/>
            </w:pPr>
            <w:r>
              <w:rPr>
                <w:b/>
                <w:bCs/>
              </w:rPr>
              <w:t xml:space="preserve">Measure of Success:</w:t>
            </w:r>
            <w:r>
              <w:t xml:space="preserve"> </w:t>
            </w:r>
            <w:r>
              <w:t xml:space="preserve">TShip</w:t>
            </w:r>
            <w:r>
              <w:t xml:space="preserve"> program expanded</w:t>
            </w:r>
            <w:r>
              <w:t xml:space="preserve"> and appointment availability expanded.</w:t>
            </w:r>
            <w:r/>
          </w:p>
        </w:tc>
      </w:tr>
    </w:tbl>
    <w:p w14:paraId="367F88E4" w14:textId="77777777">
      <w:pPr>
        <w:pBdr/>
        <w:spacing/>
        <w:ind/>
        <w:rPr>
          <w:rFonts w:cstheme="minorHAnsi"/>
        </w:rPr>
      </w:pPr>
      <w:r>
        <w:rPr>
          <w:rFonts w:cstheme="minorHAnsi"/>
        </w:rPr>
      </w:r>
      <w:r>
        <w:rPr>
          <w:rFonts w:cstheme="minorHAnsi"/>
        </w:rPr>
      </w:r>
    </w:p>
    <w:tbl>
      <w:tblPr>
        <w:tblStyle w:val="1138"/>
        <w:tblInd w:w="-459" w:type="dxa"/>
        <w:tblW w:w="14134" w:type="dxa"/>
        <w:tblBorders>
          <w:top w:val="single" w:color="ce8d3e" w:themeColor="accent3" w:sz="4" w:space="0"/>
          <w:left w:val="single" w:color="ce8d3e" w:themeColor="accent3" w:sz="4" w:space="0"/>
          <w:bottom w:val="single" w:color="ce8d3e" w:themeColor="accent3" w:sz="4" w:space="0"/>
          <w:right w:val="single" w:color="ce8d3e" w:themeColor="accent3" w:sz="4" w:space="0"/>
          <w:insideH w:val="single" w:color="ce8d3e" w:themeColor="accent3" w:sz="4" w:space="0"/>
          <w:insideV w:val="single" w:color="ce8d3e" w:themeColor="accent3" w:sz="4" w:space="0"/>
        </w:tblBorders>
        <w:tblLayout w:type="fixed"/>
        <w:tblLook w:val="04A0" w:firstRow="1" w:lastRow="0" w:firstColumn="1" w:lastColumn="0" w:noHBand="0" w:noVBand="1"/>
      </w:tblPr>
      <w:tblGrid>
        <w:gridCol w:w="3874"/>
        <w:gridCol w:w="2337"/>
        <w:gridCol w:w="1311"/>
        <w:gridCol w:w="1833"/>
        <w:gridCol w:w="2006"/>
        <w:gridCol w:w="2773"/>
      </w:tblGrid>
      <w:tr>
        <w:trPr>
          <w:trHeight w:val="530"/>
        </w:trPr>
        <w:tc>
          <w:tcPr>
            <w:gridSpan w:val="6"/>
            <w:shd w:val="clear" w:color="auto" w:fill="e1ba8b" w:themeFill="accent3" w:themeFillTint="99"/>
            <w:tcBorders/>
            <w:tcW w:w="14134" w:type="dxa"/>
            <w:vAlign w:val="center"/>
          </w:tcPr>
          <w:p w14:paraId="18881BD9" w14:textId="77777777">
            <w:pPr>
              <w:pBdr/>
              <w:spacing/>
              <w:ind/>
              <w:rPr>
                <w:rFonts w:cstheme="minorHAnsi"/>
                <w:b/>
                <w:szCs w:val="24"/>
              </w:rPr>
            </w:pPr>
            <w:r>
              <w:rPr>
                <w:rFonts w:cstheme="minorHAnsi"/>
                <w:b/>
                <w:szCs w:val="24"/>
              </w:rPr>
              <w:t xml:space="preserve">Goal 1: Improve access to health resources and services in Roosevelt County. </w:t>
            </w:r>
            <w:r>
              <w:rPr>
                <w:rFonts w:cstheme="minorHAnsi"/>
                <w:b/>
                <w:szCs w:val="24"/>
              </w:rPr>
            </w:r>
          </w:p>
        </w:tc>
      </w:tr>
      <w:tr>
        <w:trPr>
          <w:trHeight w:val="530"/>
        </w:trPr>
        <w:tc>
          <w:tcPr>
            <w:gridSpan w:val="6"/>
            <w:shd w:val="clear" w:color="auto" w:fill="e1ba8b" w:themeFill="accent3" w:themeFillTint="99"/>
            <w:tcBorders/>
            <w:tcW w:w="14134" w:type="dxa"/>
            <w:vAlign w:val="center"/>
          </w:tcPr>
          <w:p w14:paraId="16BE9B10" w14:textId="458A8C20">
            <w:pPr>
              <w:pBdr/>
              <w:spacing/>
              <w:ind/>
              <w:rPr>
                <w:rFonts w:cstheme="minorHAnsi"/>
                <w:szCs w:val="24"/>
              </w:rPr>
            </w:pPr>
            <w:r>
              <w:rPr>
                <w:rFonts w:cstheme="minorHAnsi"/>
                <w:b/>
                <w:szCs w:val="24"/>
              </w:rPr>
              <w:t xml:space="preserve">Strategy 1.2: Explore options around transportation services to augment care provided and received. </w:t>
            </w:r>
            <w:r>
              <w:rPr>
                <w:rFonts w:cstheme="minorHAnsi"/>
                <w:szCs w:val="24"/>
              </w:rPr>
            </w:r>
          </w:p>
        </w:tc>
      </w:tr>
      <w:tr>
        <w:trPr>
          <w:trHeight w:val="432"/>
        </w:trPr>
        <w:tc>
          <w:tcPr>
            <w:shd w:val="clear" w:color="auto" w:fill="a06928" w:themeFill="accent3" w:themeFillShade="BF"/>
            <w:tcBorders/>
            <w:tcW w:w="3874" w:type="dxa"/>
            <w:vAlign w:val="center"/>
          </w:tcPr>
          <w:p w14:paraId="652FFE43" w14:textId="77777777">
            <w:pPr>
              <w:pBdr/>
              <w:spacing/>
              <w:ind/>
              <w:jc w:val="center"/>
              <w:rPr>
                <w:rFonts w:cstheme="minorHAnsi"/>
                <w:b/>
                <w:color w:val="ffffff" w:themeColor="background1"/>
                <w:szCs w:val="24"/>
              </w:rPr>
            </w:pPr>
            <w:r>
              <w:rPr>
                <w:rFonts w:cstheme="minorHAnsi"/>
                <w:b/>
                <w:color w:val="ffffff" w:themeColor="background1"/>
                <w:szCs w:val="24"/>
              </w:rPr>
              <w:t xml:space="preserve">Activities</w:t>
            </w:r>
            <w:r>
              <w:rPr>
                <w:rFonts w:cstheme="minorHAnsi"/>
                <w:b/>
                <w:color w:val="ffffff" w:themeColor="background1"/>
                <w:szCs w:val="24"/>
              </w:rPr>
            </w:r>
          </w:p>
        </w:tc>
        <w:tc>
          <w:tcPr>
            <w:shd w:val="clear" w:color="auto" w:fill="a06928" w:themeFill="accent3" w:themeFillShade="BF"/>
            <w:tcBorders/>
            <w:tcW w:w="2337" w:type="dxa"/>
            <w:vAlign w:val="center"/>
          </w:tcPr>
          <w:p w14:paraId="7D3A3890" w14:textId="77777777">
            <w:pPr>
              <w:pBdr/>
              <w:spacing/>
              <w:ind/>
              <w:jc w:val="center"/>
              <w:rPr>
                <w:rFonts w:cstheme="minorHAnsi"/>
                <w:b/>
                <w:color w:val="ffffff" w:themeColor="background1"/>
                <w:szCs w:val="24"/>
              </w:rPr>
            </w:pPr>
            <w:r>
              <w:rPr>
                <w:rFonts w:cstheme="minorHAnsi"/>
                <w:b/>
                <w:color w:val="ffffff" w:themeColor="background1"/>
                <w:szCs w:val="24"/>
              </w:rPr>
              <w:t xml:space="preserve">Responsibility</w:t>
            </w:r>
            <w:r>
              <w:rPr>
                <w:rFonts w:cstheme="minorHAnsi"/>
                <w:b/>
                <w:color w:val="ffffff" w:themeColor="background1"/>
                <w:szCs w:val="24"/>
              </w:rPr>
            </w:r>
          </w:p>
        </w:tc>
        <w:tc>
          <w:tcPr>
            <w:shd w:val="clear" w:color="auto" w:fill="a06928" w:themeFill="accent3" w:themeFillShade="BF"/>
            <w:tcBorders/>
            <w:tcW w:w="1311" w:type="dxa"/>
            <w:vAlign w:val="center"/>
          </w:tcPr>
          <w:p w14:paraId="3D98DF8D" w14:textId="77777777">
            <w:pPr>
              <w:pBdr/>
              <w:spacing/>
              <w:ind/>
              <w:jc w:val="center"/>
              <w:rPr>
                <w:rFonts w:cstheme="minorHAnsi"/>
                <w:b/>
                <w:color w:val="ffffff" w:themeColor="background1"/>
                <w:szCs w:val="24"/>
              </w:rPr>
            </w:pPr>
            <w:r>
              <w:rPr>
                <w:rFonts w:cstheme="minorHAnsi"/>
                <w:b/>
                <w:color w:val="ffffff" w:themeColor="background1"/>
                <w:szCs w:val="24"/>
              </w:rPr>
              <w:t xml:space="preserve">Timeline</w:t>
            </w:r>
            <w:r>
              <w:rPr>
                <w:rFonts w:cstheme="minorHAnsi"/>
                <w:b/>
                <w:color w:val="ffffff" w:themeColor="background1"/>
                <w:szCs w:val="24"/>
              </w:rPr>
            </w:r>
          </w:p>
        </w:tc>
        <w:tc>
          <w:tcPr>
            <w:shd w:val="clear" w:color="auto" w:fill="a06928" w:themeFill="accent3" w:themeFillShade="BF"/>
            <w:tcBorders/>
            <w:tcW w:w="1833" w:type="dxa"/>
            <w:vAlign w:val="center"/>
          </w:tcPr>
          <w:p w14:paraId="2CC50C00" w14:textId="77777777">
            <w:pPr>
              <w:pBdr/>
              <w:spacing/>
              <w:ind/>
              <w:jc w:val="center"/>
              <w:rPr>
                <w:rFonts w:cstheme="minorHAnsi"/>
                <w:b/>
                <w:color w:val="ffffff" w:themeColor="background1"/>
                <w:szCs w:val="24"/>
              </w:rPr>
            </w:pPr>
            <w:r>
              <w:rPr>
                <w:rFonts w:cstheme="minorHAnsi"/>
                <w:b/>
                <w:color w:val="ffffff" w:themeColor="background1"/>
                <w:szCs w:val="24"/>
              </w:rPr>
              <w:t xml:space="preserve">Final Approval</w:t>
            </w:r>
            <w:r>
              <w:rPr>
                <w:rFonts w:cstheme="minorHAnsi"/>
                <w:b/>
                <w:color w:val="ffffff" w:themeColor="background1"/>
                <w:szCs w:val="24"/>
              </w:rPr>
            </w:r>
          </w:p>
        </w:tc>
        <w:tc>
          <w:tcPr>
            <w:shd w:val="clear" w:color="auto" w:fill="a06928" w:themeFill="accent3" w:themeFillShade="BF"/>
            <w:tcBorders/>
            <w:tcW w:w="2006" w:type="dxa"/>
            <w:vAlign w:val="center"/>
          </w:tcPr>
          <w:p w14:paraId="1E6A256F" w14:textId="77777777">
            <w:pPr>
              <w:pBdr/>
              <w:spacing/>
              <w:ind/>
              <w:jc w:val="center"/>
              <w:rPr>
                <w:rFonts w:cstheme="minorHAnsi"/>
                <w:b/>
                <w:color w:val="ffffff" w:themeColor="background1"/>
                <w:szCs w:val="24"/>
              </w:rPr>
            </w:pPr>
            <w:r>
              <w:rPr>
                <w:rFonts w:cstheme="minorHAnsi"/>
                <w:b/>
                <w:color w:val="ffffff" w:themeColor="background1"/>
                <w:szCs w:val="24"/>
              </w:rPr>
              <w:t xml:space="preserve">Partners</w:t>
            </w:r>
            <w:r>
              <w:rPr>
                <w:rFonts w:cstheme="minorHAnsi"/>
                <w:b/>
                <w:color w:val="ffffff" w:themeColor="background1"/>
                <w:szCs w:val="24"/>
              </w:rPr>
            </w:r>
          </w:p>
        </w:tc>
        <w:tc>
          <w:tcPr>
            <w:shd w:val="clear" w:color="auto" w:fill="a06928" w:themeFill="accent3" w:themeFillShade="BF"/>
            <w:tcBorders/>
            <w:tcW w:w="2773" w:type="dxa"/>
            <w:vAlign w:val="center"/>
          </w:tcPr>
          <w:p w14:paraId="692AC719" w14:textId="77777777">
            <w:pPr>
              <w:pBdr/>
              <w:spacing/>
              <w:ind/>
              <w:jc w:val="center"/>
              <w:rPr>
                <w:rFonts w:cstheme="minorHAnsi"/>
                <w:b/>
                <w:color w:val="ffffff" w:themeColor="background1"/>
                <w:szCs w:val="24"/>
              </w:rPr>
            </w:pPr>
            <w:r>
              <w:rPr>
                <w:rFonts w:cstheme="minorHAnsi"/>
                <w:b/>
                <w:color w:val="ffffff" w:themeColor="background1"/>
                <w:szCs w:val="24"/>
              </w:rPr>
              <w:t xml:space="preserve">Potential Barriers </w:t>
            </w:r>
            <w:r>
              <w:rPr>
                <w:rFonts w:cstheme="minorHAnsi"/>
                <w:b/>
                <w:color w:val="ffffff" w:themeColor="background1"/>
                <w:szCs w:val="24"/>
              </w:rPr>
            </w:r>
          </w:p>
        </w:tc>
      </w:tr>
      <w:tr>
        <w:trPr>
          <w:trHeight w:val="719"/>
        </w:trPr>
        <w:tc>
          <w:tcPr>
            <w:shd w:val="clear" w:color="auto" w:fill="f5e7d8" w:themeFill="accent3" w:themeFillTint="33"/>
            <w:tcBorders/>
            <w:tcW w:w="3874" w:type="dxa"/>
            <w:vAlign w:val="center"/>
          </w:tcPr>
          <w:p w14:paraId="0A3CA466" w14:textId="74E09C64">
            <w:pPr>
              <w:pBdr/>
              <w:spacing w:after="96" w:afterLines="40" w:before="96" w:beforeLines="40"/>
              <w:ind/>
              <w:rPr>
                <w:rFonts w:cstheme="minorHAnsi"/>
                <w:szCs w:val="24"/>
              </w:rPr>
            </w:pPr>
            <w:r>
              <w:rPr>
                <w:rFonts w:cstheme="minorHAnsi"/>
                <w:szCs w:val="24"/>
              </w:rPr>
              <w:t xml:space="preserve">Examine what care services residents are having to travel for and explore feasibility of bringing those services to Roosevelt County, either through increasing providers, increasing training, or collaborating with visiting specialists.</w:t>
            </w:r>
            <w:r>
              <w:rPr>
                <w:rFonts w:cstheme="minorHAnsi"/>
                <w:szCs w:val="24"/>
              </w:rPr>
            </w:r>
          </w:p>
        </w:tc>
        <w:tc>
          <w:tcPr>
            <w:shd w:val="clear" w:color="auto" w:fill="f5e7d8" w:themeFill="accent3" w:themeFillTint="33"/>
            <w:tcBorders/>
            <w:tcW w:w="2337" w:type="dxa"/>
            <w:vAlign w:val="center"/>
          </w:tcPr>
          <w:p w14:paraId="537B866A" w14:textId="2244606B">
            <w:pPr>
              <w:pBdr/>
              <w:spacing w:after="96" w:afterLines="40" w:before="96" w:beforeLines="40"/>
              <w:ind/>
              <w:jc w:val="center"/>
              <w:rPr>
                <w:rFonts w:cstheme="minorHAnsi"/>
                <w:szCs w:val="24"/>
              </w:rPr>
            </w:pPr>
            <w:r>
              <w:rPr>
                <w:rFonts w:cstheme="minorHAnsi"/>
                <w:szCs w:val="24"/>
              </w:rPr>
              <w:t xml:space="preserve">Roger Fisher &amp;</w:t>
            </w:r>
            <w:r>
              <w:rPr>
                <w:rFonts w:cstheme="minorHAnsi"/>
                <w:szCs w:val="24"/>
              </w:rPr>
              <w:t xml:space="preserve"> Elaine</w:t>
            </w:r>
            <w:r>
              <w:rPr>
                <w:rFonts w:cstheme="minorHAnsi"/>
                <w:szCs w:val="24"/>
              </w:rPr>
              <w:t xml:space="preserve"> </w:t>
            </w:r>
            <w:r>
              <w:rPr>
                <w:rFonts w:cstheme="minorHAnsi"/>
                <w:szCs w:val="24"/>
              </w:rPr>
              <w:t xml:space="preserve">Long</w:t>
            </w:r>
            <w:r>
              <w:rPr>
                <w:rFonts w:cstheme="minorHAnsi"/>
                <w:szCs w:val="24"/>
              </w:rPr>
            </w:r>
          </w:p>
        </w:tc>
        <w:tc>
          <w:tcPr>
            <w:shd w:val="clear" w:color="auto" w:fill="f5e7d8" w:themeFill="accent3" w:themeFillTint="33"/>
            <w:tcBorders/>
            <w:tcW w:w="1311" w:type="dxa"/>
            <w:vAlign w:val="center"/>
          </w:tcPr>
          <w:p w14:paraId="44E07489" w14:textId="1D7D3528">
            <w:pPr>
              <w:pBdr/>
              <w:spacing w:after="96" w:afterLines="40" w:before="96" w:beforeLines="40"/>
              <w:ind/>
              <w:jc w:val="center"/>
              <w:rPr>
                <w:rFonts w:cstheme="minorHAnsi"/>
                <w:szCs w:val="24"/>
              </w:rPr>
            </w:pPr>
            <w:r>
              <w:rPr>
                <w:rFonts w:cstheme="minorHAnsi"/>
                <w:szCs w:val="24"/>
              </w:rPr>
              <w:t xml:space="preserve">1/01/202</w:t>
            </w:r>
            <w:r>
              <w:rPr>
                <w:rFonts w:cstheme="minorHAnsi"/>
                <w:szCs w:val="24"/>
              </w:rPr>
              <w:t xml:space="preserve">6</w:t>
            </w:r>
            <w:r>
              <w:rPr>
                <w:rFonts w:cstheme="minorHAnsi"/>
                <w:szCs w:val="24"/>
              </w:rPr>
            </w:r>
          </w:p>
        </w:tc>
        <w:tc>
          <w:tcPr>
            <w:shd w:val="clear" w:color="auto" w:fill="f5e7d8" w:themeFill="accent3" w:themeFillTint="33"/>
            <w:tcBorders/>
            <w:tcW w:w="1833" w:type="dxa"/>
            <w:vAlign w:val="center"/>
          </w:tcPr>
          <w:p w14:paraId="71E3986A" w14:textId="4AD7BEBF">
            <w:pPr>
              <w:pBdr/>
              <w:spacing w:after="96" w:afterLines="40" w:before="96" w:beforeLines="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435B02E2" w14:textId="5EFEED31">
            <w:pPr>
              <w:pBdr/>
              <w:spacing w:after="96" w:afterLines="40" w:before="96" w:beforeLines="40"/>
              <w:ind/>
              <w:jc w:val="center"/>
              <w:rPr>
                <w:rFonts w:cstheme="minorHAnsi"/>
                <w:szCs w:val="24"/>
              </w:rPr>
            </w:pPr>
            <w:r>
              <w:rPr>
                <w:rFonts w:cstheme="minorHAnsi"/>
                <w:szCs w:val="24"/>
              </w:rPr>
              <w:t xml:space="preserve">NEM</w:t>
            </w:r>
            <w:r>
              <w:rPr>
                <w:rFonts w:cstheme="minorHAnsi"/>
                <w:szCs w:val="24"/>
              </w:rPr>
              <w:t xml:space="preserve">HS Providers, Fort Peck Tribal Health and Indian Health Services</w:t>
            </w:r>
            <w:r>
              <w:rPr>
                <w:rFonts w:cstheme="minorHAnsi"/>
                <w:szCs w:val="24"/>
              </w:rPr>
            </w:r>
          </w:p>
        </w:tc>
        <w:tc>
          <w:tcPr>
            <w:shd w:val="clear" w:color="auto" w:fill="f5e7d8" w:themeFill="accent3" w:themeFillTint="33"/>
            <w:tcBorders/>
            <w:tcW w:w="2773" w:type="dxa"/>
            <w:vAlign w:val="center"/>
          </w:tcPr>
          <w:p w14:paraId="158A72FE" w14:textId="11F0DBFB">
            <w:pPr>
              <w:pBdr/>
              <w:spacing w:after="96" w:afterLines="40" w:before="96" w:beforeLines="40"/>
              <w:ind/>
              <w:jc w:val="center"/>
              <w:rPr>
                <w:rFonts w:cstheme="minorHAnsi"/>
                <w:szCs w:val="24"/>
              </w:rPr>
            </w:pPr>
            <w:r>
              <w:rPr>
                <w:rFonts w:cstheme="minorHAnsi"/>
                <w:szCs w:val="24"/>
              </w:rPr>
              <w:t xml:space="preserve">Financial Constraints</w:t>
            </w:r>
            <w:r>
              <w:rPr>
                <w:rFonts w:cstheme="minorHAnsi"/>
                <w:szCs w:val="24"/>
              </w:rPr>
            </w:r>
          </w:p>
        </w:tc>
      </w:tr>
      <w:tr>
        <w:trPr>
          <w:trHeight w:val="1034"/>
        </w:trPr>
        <w:tc>
          <w:tcPr>
            <w:shd w:val="clear" w:color="auto" w:fill="f5e7d8" w:themeFill="accent3" w:themeFillTint="33"/>
            <w:tcBorders/>
            <w:tcW w:w="3874" w:type="dxa"/>
            <w:vAlign w:val="center"/>
          </w:tcPr>
          <w:p w14:paraId="354FBA91" w14:textId="17323C9A">
            <w:pPr>
              <w:pBdr/>
              <w:spacing w:after="96" w:afterLines="40" w:before="96" w:beforeLines="40"/>
              <w:ind/>
              <w:rPr>
                <w:rFonts w:cstheme="minorHAnsi"/>
                <w:szCs w:val="24"/>
              </w:rPr>
            </w:pPr>
            <w:r>
              <w:rPr>
                <w:rFonts w:cstheme="minorHAnsi"/>
                <w:szCs w:val="24"/>
              </w:rPr>
              <w:t xml:space="preserve">Explore other options for keeping care local and regional (e.g. in Glasgow, Sidney, Williston).</w:t>
            </w:r>
            <w:r>
              <w:rPr>
                <w:rFonts w:cstheme="minorHAnsi"/>
                <w:szCs w:val="24"/>
              </w:rPr>
            </w:r>
          </w:p>
        </w:tc>
        <w:tc>
          <w:tcPr>
            <w:shd w:val="clear" w:color="auto" w:fill="f5e7d8" w:themeFill="accent3" w:themeFillTint="33"/>
            <w:tcBorders/>
            <w:tcW w:w="2337" w:type="dxa"/>
            <w:vAlign w:val="center"/>
          </w:tcPr>
          <w:p w14:paraId="4EB52038" w14:textId="5A226512">
            <w:pPr>
              <w:pBdr/>
              <w:spacing w:after="96" w:afterLines="40" w:before="96" w:beforeLines="40"/>
              <w:ind/>
              <w:jc w:val="center"/>
              <w:rPr>
                <w:rFonts w:cstheme="minorHAnsi"/>
                <w:szCs w:val="24"/>
              </w:rPr>
            </w:pPr>
            <w:r>
              <w:rPr>
                <w:rFonts w:cstheme="minorHAnsi"/>
                <w:szCs w:val="24"/>
              </w:rPr>
              <w:t xml:space="preserve">Roger Fisher, Elaine Long and CMO</w:t>
            </w:r>
            <w:r>
              <w:rPr>
                <w:rFonts w:cstheme="minorHAnsi"/>
                <w:szCs w:val="24"/>
              </w:rPr>
            </w:r>
          </w:p>
        </w:tc>
        <w:tc>
          <w:tcPr>
            <w:shd w:val="clear" w:color="auto" w:fill="f5e7d8" w:themeFill="accent3" w:themeFillTint="33"/>
            <w:tcBorders/>
            <w:tcW w:w="1311" w:type="dxa"/>
            <w:vAlign w:val="center"/>
          </w:tcPr>
          <w:p w14:paraId="15A1F27E" w14:textId="61298995">
            <w:pPr>
              <w:pBdr/>
              <w:spacing w:after="96" w:afterLines="40" w:before="96" w:beforeLines="40"/>
              <w:ind/>
              <w:jc w:val="center"/>
              <w:rPr/>
            </w:pPr>
            <w:r>
              <w:rPr>
                <w:rFonts w:cstheme="minorHAnsi"/>
                <w:szCs w:val="24"/>
              </w:rPr>
              <w:t xml:space="preserve">1/01/2026</w:t>
            </w:r>
            <w:r/>
          </w:p>
        </w:tc>
        <w:tc>
          <w:tcPr>
            <w:shd w:val="clear" w:color="auto" w:fill="f5e7d8" w:themeFill="accent3" w:themeFillTint="33"/>
            <w:tcBorders/>
            <w:tcW w:w="1833" w:type="dxa"/>
            <w:vAlign w:val="center"/>
          </w:tcPr>
          <w:p w14:paraId="00E07FB4" w14:textId="5D824212">
            <w:pPr>
              <w:pBdr/>
              <w:spacing w:after="96" w:afterLines="40" w:before="96" w:beforeLines="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3F8FCB25" w14:textId="0530C01A">
            <w:pPr>
              <w:pBdr/>
              <w:spacing w:after="96" w:afterLines="40" w:before="96" w:beforeLines="40"/>
              <w:ind/>
              <w:jc w:val="center"/>
              <w:rPr>
                <w:rFonts w:cstheme="minorHAnsi"/>
                <w:szCs w:val="24"/>
              </w:rPr>
            </w:pPr>
            <w:r>
              <w:rPr>
                <w:rFonts w:cstheme="minorHAnsi"/>
                <w:szCs w:val="24"/>
              </w:rPr>
              <w:t xml:space="preserve">NEMHS Providers, Fort Peck Tribal Health and Indian Health Services</w:t>
            </w:r>
            <w:r>
              <w:rPr>
                <w:rFonts w:cstheme="minorHAnsi"/>
                <w:szCs w:val="24"/>
              </w:rPr>
            </w:r>
          </w:p>
        </w:tc>
        <w:tc>
          <w:tcPr>
            <w:shd w:val="clear" w:color="auto" w:fill="f5e7d8" w:themeFill="accent3" w:themeFillTint="33"/>
            <w:tcBorders/>
            <w:tcW w:w="2773" w:type="dxa"/>
            <w:vAlign w:val="center"/>
          </w:tcPr>
          <w:p w14:paraId="0A713179" w14:textId="3991731A">
            <w:pPr>
              <w:pBdr/>
              <w:spacing w:after="96" w:afterLines="40" w:before="96" w:beforeLines="40"/>
              <w:ind/>
              <w:jc w:val="center"/>
              <w:rPr/>
            </w:pPr>
            <w:r>
              <w:rPr>
                <w:rFonts w:cstheme="minorHAnsi"/>
                <w:szCs w:val="24"/>
              </w:rPr>
              <w:t xml:space="preserve">Financial Constraints</w:t>
            </w:r>
            <w:r/>
          </w:p>
        </w:tc>
      </w:tr>
      <w:tr>
        <w:trPr>
          <w:trHeight w:val="719"/>
        </w:trPr>
        <w:tc>
          <w:tcPr>
            <w:shd w:val="clear" w:color="auto" w:fill="f5e7d8" w:themeFill="accent3" w:themeFillTint="33"/>
            <w:tcBorders/>
            <w:tcW w:w="3874" w:type="dxa"/>
            <w:vAlign w:val="center"/>
          </w:tcPr>
          <w:p w14:paraId="5C4BCA60" w14:textId="201E4E8E">
            <w:pPr>
              <w:pBdr/>
              <w:spacing w:after="96" w:afterLines="40" w:before="96" w:beforeLines="40"/>
              <w:ind/>
              <w:rPr>
                <w:rFonts w:cstheme="minorHAnsi"/>
                <w:szCs w:val="24"/>
              </w:rPr>
            </w:pPr>
            <w:r>
              <w:t xml:space="preserve">Examine potential to support Faith Home in acquiring new transportation vehicle.</w:t>
            </w:r>
            <w:r>
              <w:rPr>
                <w:rFonts w:cstheme="minorHAnsi"/>
                <w:szCs w:val="24"/>
              </w:rPr>
            </w:r>
          </w:p>
        </w:tc>
        <w:tc>
          <w:tcPr>
            <w:shd w:val="clear" w:color="auto" w:fill="f5e7d8" w:themeFill="accent3" w:themeFillTint="33"/>
            <w:tcBorders/>
            <w:tcW w:w="2337" w:type="dxa"/>
            <w:vAlign w:val="center"/>
          </w:tcPr>
          <w:p w14:paraId="629F9DF7" w14:textId="4231B75B">
            <w:pPr>
              <w:pBdr/>
              <w:spacing w:after="96" w:afterLines="40" w:before="96" w:beforeLines="40"/>
              <w:ind/>
              <w:jc w:val="center"/>
              <w:rPr>
                <w:rFonts w:cstheme="minorHAnsi"/>
                <w:szCs w:val="24"/>
              </w:rPr>
            </w:pPr>
            <w:r>
              <w:rPr>
                <w:rFonts w:cstheme="minorHAnsi"/>
                <w:szCs w:val="24"/>
              </w:rPr>
              <w:t xml:space="preserve">Chris Pearson &amp; Scott Olander</w:t>
            </w:r>
            <w:r>
              <w:rPr>
                <w:rFonts w:cstheme="minorHAnsi"/>
                <w:szCs w:val="24"/>
              </w:rPr>
            </w:r>
          </w:p>
        </w:tc>
        <w:tc>
          <w:tcPr>
            <w:shd w:val="clear" w:color="auto" w:fill="f5e7d8" w:themeFill="accent3" w:themeFillTint="33"/>
            <w:tcBorders/>
            <w:tcW w:w="1311" w:type="dxa"/>
            <w:vAlign w:val="center"/>
          </w:tcPr>
          <w:p w14:paraId="207BE573" w14:textId="55FE5F8E">
            <w:pPr>
              <w:pBdr/>
              <w:spacing w:after="96" w:afterLines="40" w:before="96" w:beforeLines="40"/>
              <w:ind/>
              <w:jc w:val="center"/>
              <w:rPr/>
            </w:pPr>
            <w:r>
              <w:rPr>
                <w:rFonts w:cstheme="minorHAnsi"/>
                <w:szCs w:val="24"/>
              </w:rPr>
              <w:t xml:space="preserve">6/01/2026</w:t>
            </w:r>
            <w:r/>
          </w:p>
        </w:tc>
        <w:tc>
          <w:tcPr>
            <w:shd w:val="clear" w:color="auto" w:fill="f5e7d8" w:themeFill="accent3" w:themeFillTint="33"/>
            <w:tcBorders/>
            <w:tcW w:w="1833" w:type="dxa"/>
            <w:vAlign w:val="center"/>
          </w:tcPr>
          <w:p w14:paraId="4C1E22A6" w14:textId="58EF5E0D">
            <w:pPr>
              <w:pBdr/>
              <w:spacing w:after="96" w:afterLines="40" w:before="96" w:beforeLines="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3B242B26" w14:textId="4A8B1DD1">
            <w:pPr>
              <w:pBdr/>
              <w:spacing w:after="96" w:afterLines="40" w:before="96" w:beforeLines="40"/>
              <w:ind/>
              <w:jc w:val="center"/>
              <w:rPr>
                <w:rFonts w:cstheme="minorHAnsi"/>
                <w:szCs w:val="24"/>
              </w:rPr>
            </w:pPr>
            <w:r>
              <w:rPr>
                <w:rFonts w:cstheme="minorHAnsi"/>
                <w:szCs w:val="24"/>
              </w:rPr>
              <w:t xml:space="preserve">Faith Home Foundation and NEMHS Foundation</w:t>
            </w:r>
            <w:r>
              <w:rPr>
                <w:rFonts w:cstheme="minorHAnsi"/>
                <w:szCs w:val="24"/>
              </w:rPr>
            </w:r>
          </w:p>
        </w:tc>
        <w:tc>
          <w:tcPr>
            <w:shd w:val="clear" w:color="auto" w:fill="f5e7d8" w:themeFill="accent3" w:themeFillTint="33"/>
            <w:tcBorders/>
            <w:tcW w:w="2773" w:type="dxa"/>
            <w:vAlign w:val="center"/>
          </w:tcPr>
          <w:p w14:paraId="75981968" w14:textId="1499FA7D">
            <w:pPr>
              <w:pBdr/>
              <w:spacing w:after="96" w:afterLines="40" w:before="96" w:beforeLines="40"/>
              <w:ind/>
              <w:jc w:val="center"/>
              <w:rPr/>
            </w:pPr>
            <w:r>
              <w:rPr>
                <w:rFonts w:cstheme="minorHAnsi"/>
                <w:szCs w:val="24"/>
              </w:rPr>
              <w:t xml:space="preserve">Financial Constraints and </w:t>
            </w:r>
            <w:r>
              <w:rPr>
                <w:rFonts w:cstheme="minorHAnsi"/>
                <w:szCs w:val="24"/>
              </w:rPr>
              <w:t xml:space="preserve">other priorities</w:t>
            </w:r>
            <w:r/>
          </w:p>
        </w:tc>
      </w:tr>
      <w:tr>
        <w:trPr>
          <w:trHeight w:val="710"/>
        </w:trPr>
        <w:tc>
          <w:tcPr>
            <w:shd w:val="clear" w:color="auto" w:fill="f5e7d8" w:themeFill="accent3" w:themeFillTint="33"/>
            <w:tcBorders/>
            <w:tcW w:w="3874" w:type="dxa"/>
            <w:vAlign w:val="center"/>
          </w:tcPr>
          <w:p w14:paraId="78A1B692" w14:textId="6B208AE9">
            <w:pPr>
              <w:pBdr/>
              <w:spacing w:after="96" w:afterLines="40" w:before="96" w:beforeLines="40"/>
              <w:ind/>
              <w:rPr>
                <w:rFonts w:cstheme="minorHAnsi"/>
                <w:szCs w:val="24"/>
              </w:rPr>
            </w:pPr>
            <w:r>
              <w:t xml:space="preserve">Continue to promote and coordinate with tribal and veteran transport services.</w:t>
            </w:r>
            <w:r>
              <w:rPr>
                <w:rFonts w:cstheme="minorHAnsi"/>
                <w:szCs w:val="24"/>
              </w:rPr>
            </w:r>
          </w:p>
        </w:tc>
        <w:tc>
          <w:tcPr>
            <w:shd w:val="clear" w:color="auto" w:fill="f5e7d8" w:themeFill="accent3" w:themeFillTint="33"/>
            <w:tcBorders/>
            <w:tcW w:w="2337" w:type="dxa"/>
            <w:vAlign w:val="center"/>
          </w:tcPr>
          <w:p w14:paraId="6EE5EA2F" w14:textId="5149C4E0">
            <w:pPr>
              <w:pBdr/>
              <w:spacing w:after="96" w:afterLines="40" w:before="96" w:beforeLines="40"/>
              <w:ind/>
              <w:jc w:val="center"/>
              <w:rPr>
                <w:rFonts w:cstheme="minorHAnsi"/>
                <w:szCs w:val="24"/>
              </w:rPr>
            </w:pPr>
            <w:r>
              <w:rPr>
                <w:rFonts w:cstheme="minorHAnsi"/>
                <w:szCs w:val="24"/>
              </w:rPr>
              <w:t xml:space="preserve">Chris Pearson</w:t>
            </w:r>
            <w:r>
              <w:rPr>
                <w:rFonts w:cstheme="minorHAnsi"/>
                <w:szCs w:val="24"/>
              </w:rPr>
              <w:t xml:space="preserve"> and Mary </w:t>
            </w:r>
            <w:r>
              <w:rPr>
                <w:rFonts w:cstheme="minorHAnsi"/>
                <w:szCs w:val="24"/>
              </w:rPr>
              <w:t xml:space="preserve">Skyberg</w:t>
            </w:r>
            <w:r>
              <w:rPr>
                <w:rFonts w:cstheme="minorHAnsi"/>
                <w:szCs w:val="24"/>
              </w:rPr>
            </w:r>
          </w:p>
        </w:tc>
        <w:tc>
          <w:tcPr>
            <w:shd w:val="clear" w:color="auto" w:fill="f5e7d8" w:themeFill="accent3" w:themeFillTint="33"/>
            <w:tcBorders/>
            <w:tcW w:w="1311" w:type="dxa"/>
            <w:vAlign w:val="center"/>
          </w:tcPr>
          <w:p w14:paraId="0556038A" w14:textId="4A713281">
            <w:pPr>
              <w:pBdr/>
              <w:spacing w:after="96" w:afterLines="40" w:before="96" w:beforeLines="40"/>
              <w:ind/>
              <w:jc w:val="center"/>
              <w:rPr/>
            </w:pPr>
            <w:r>
              <w:rPr>
                <w:rFonts w:cstheme="minorHAnsi"/>
                <w:szCs w:val="24"/>
              </w:rPr>
              <w:t xml:space="preserve">6/01/2026</w:t>
            </w:r>
            <w:r/>
          </w:p>
        </w:tc>
        <w:tc>
          <w:tcPr>
            <w:shd w:val="clear" w:color="auto" w:fill="f5e7d8" w:themeFill="accent3" w:themeFillTint="33"/>
            <w:tcBorders/>
            <w:tcW w:w="1833" w:type="dxa"/>
            <w:vAlign w:val="center"/>
          </w:tcPr>
          <w:p w14:paraId="4FD27F5A" w14:textId="219BED24">
            <w:pPr>
              <w:pBdr/>
              <w:spacing w:after="96" w:afterLines="40" w:before="96" w:beforeLines="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596C7EB4" w14:textId="02D36959">
            <w:pPr>
              <w:pBdr/>
              <w:spacing w:after="96" w:afterLines="40" w:before="96" w:beforeLines="40"/>
              <w:ind/>
              <w:jc w:val="center"/>
              <w:rPr>
                <w:rFonts w:cstheme="minorHAnsi"/>
                <w:szCs w:val="24"/>
              </w:rPr>
            </w:pPr>
            <w:r>
              <w:rPr>
                <w:rFonts w:cstheme="minorHAnsi"/>
                <w:szCs w:val="24"/>
              </w:rPr>
              <w:t xml:space="preserve">Fort Peck Tribal Health</w:t>
            </w:r>
            <w:r>
              <w:rPr>
                <w:rFonts w:cstheme="minorHAnsi"/>
                <w:szCs w:val="24"/>
              </w:rPr>
            </w:r>
          </w:p>
        </w:tc>
        <w:tc>
          <w:tcPr>
            <w:shd w:val="clear" w:color="auto" w:fill="f5e7d8" w:themeFill="accent3" w:themeFillTint="33"/>
            <w:tcBorders/>
            <w:tcW w:w="2773" w:type="dxa"/>
            <w:vAlign w:val="center"/>
          </w:tcPr>
          <w:p w14:paraId="3245A585" w14:textId="48265B2D">
            <w:pPr>
              <w:pBdr/>
              <w:spacing w:after="96" w:afterLines="40" w:before="96" w:beforeLines="40"/>
              <w:ind/>
              <w:jc w:val="center"/>
              <w:rPr/>
            </w:pPr>
            <w:r>
              <w:rPr>
                <w:rFonts w:cstheme="minorHAnsi"/>
                <w:szCs w:val="24"/>
              </w:rPr>
              <w:t xml:space="preserve">Tribal Health and Veterans Financial Constraints</w:t>
            </w:r>
            <w:r/>
          </w:p>
        </w:tc>
      </w:tr>
      <w:tr>
        <w:trPr>
          <w:trHeight w:val="3230"/>
        </w:trPr>
        <w:tc>
          <w:tcPr>
            <w:gridSpan w:val="6"/>
            <w:shd w:val="clear" w:color="auto" w:fill="f5e7d8" w:themeFill="accent3" w:themeFillTint="33"/>
            <w:tcBorders/>
            <w:tcW w:w="14134" w:type="dxa"/>
            <w:vAlign w:val="center"/>
          </w:tcPr>
          <w:p w14:paraId="4FBB4144" w14:textId="77777777">
            <w:pPr>
              <w:pBdr/>
              <w:spacing/>
              <w:ind/>
              <w:rPr>
                <w:rFonts w:cstheme="minorHAnsi"/>
                <w:b/>
                <w:szCs w:val="24"/>
              </w:rPr>
            </w:pPr>
            <w:r>
              <w:rPr>
                <w:rFonts w:cstheme="minorHAnsi"/>
                <w:b/>
                <w:szCs w:val="24"/>
              </w:rPr>
              <w:t xml:space="preserve">Needs Being Addressed by this Strategy:</w:t>
            </w:r>
            <w:r>
              <w:rPr>
                <w:rFonts w:cstheme="minorHAnsi"/>
                <w:b/>
                <w:szCs w:val="24"/>
              </w:rPr>
            </w:r>
          </w:p>
          <w:p w14:paraId="19B93B30" w14:textId="77777777">
            <w:pPr>
              <w:pStyle w:val="1145"/>
              <w:numPr>
                <w:ilvl w:val="0"/>
                <w:numId w:val="15"/>
              </w:numPr>
              <w:pBdr/>
              <w:spacing/>
              <w:ind/>
              <w:rPr>
                <w:rFonts w:cstheme="minorHAnsi"/>
                <w:bCs/>
                <w:szCs w:val="24"/>
              </w:rPr>
            </w:pPr>
            <w:r>
              <w:rPr>
                <w:rFonts w:cstheme="minorHAnsi"/>
                <w:bCs/>
                <w:szCs w:val="24"/>
              </w:rPr>
              <w:t xml:space="preserve">3. “Healthy behaviors and lifestyles” and “Access to healthcare and other services” are the two most important things for a healthy community. </w:t>
            </w:r>
            <w:r>
              <w:rPr>
                <w:rFonts w:cstheme="minorHAnsi"/>
                <w:bCs/>
                <w:szCs w:val="24"/>
              </w:rPr>
            </w:r>
          </w:p>
          <w:p w14:paraId="617E98CB" w14:textId="77777777">
            <w:pPr>
              <w:pStyle w:val="1145"/>
              <w:numPr>
                <w:ilvl w:val="0"/>
                <w:numId w:val="15"/>
              </w:numPr>
              <w:pBdr/>
              <w:spacing/>
              <w:ind/>
              <w:rPr>
                <w:rFonts w:cstheme="minorHAnsi"/>
                <w:bCs/>
                <w:szCs w:val="24"/>
              </w:rPr>
            </w:pPr>
            <w:r>
              <w:rPr>
                <w:rFonts w:cstheme="minorHAnsi"/>
                <w:bCs/>
                <w:szCs w:val="24"/>
              </w:rPr>
              <w:t xml:space="preserve">5. 44% of respondents indicated that they delayed receiving medical services; the top reasons were “Too long to wait for an appointment,” “Could not get an appointment,” and “It cost too much.”</w:t>
            </w:r>
            <w:r>
              <w:rPr>
                <w:rFonts w:cstheme="minorHAnsi"/>
                <w:bCs/>
                <w:szCs w:val="24"/>
              </w:rPr>
            </w:r>
          </w:p>
          <w:p w14:paraId="1CF44746" w14:textId="77777777">
            <w:pPr>
              <w:pStyle w:val="1145"/>
              <w:numPr>
                <w:ilvl w:val="0"/>
                <w:numId w:val="15"/>
              </w:numPr>
              <w:pBdr/>
              <w:spacing/>
              <w:ind/>
              <w:rPr>
                <w:rFonts w:cstheme="minorHAnsi"/>
                <w:bCs/>
                <w:szCs w:val="24"/>
              </w:rPr>
            </w:pPr>
            <w:r>
              <w:rPr>
                <w:rFonts w:cstheme="minorHAnsi"/>
                <w:bCs/>
                <w:szCs w:val="24"/>
              </w:rPr>
              <w:t xml:space="preserve">9. 32% of respondents report that they utilize hospitals outside of Poplar/Wolf Point, and many cited services offered as their reason why they visited a specific hospital. </w:t>
            </w:r>
            <w:r>
              <w:rPr>
                <w:rFonts w:cstheme="minorHAnsi"/>
                <w:bCs/>
                <w:szCs w:val="24"/>
              </w:rPr>
            </w:r>
          </w:p>
          <w:p w14:paraId="625F147B" w14:textId="77777777">
            <w:pPr>
              <w:pStyle w:val="1145"/>
              <w:numPr>
                <w:ilvl w:val="0"/>
                <w:numId w:val="15"/>
              </w:numPr>
              <w:pBdr/>
              <w:spacing/>
              <w:ind/>
              <w:rPr>
                <w:rFonts w:cstheme="minorHAnsi"/>
                <w:bCs/>
                <w:szCs w:val="24"/>
              </w:rPr>
            </w:pPr>
            <w:r>
              <w:rPr>
                <w:rFonts w:cstheme="minorHAnsi"/>
                <w:bCs/>
                <w:szCs w:val="24"/>
              </w:rPr>
              <w:t xml:space="preserve">10. 89% of respondents saw a primary care provider, and 63% stayed in Poplar/Wolf Point for that care. </w:t>
            </w:r>
            <w:r>
              <w:rPr>
                <w:rFonts w:cstheme="minorHAnsi"/>
                <w:bCs/>
                <w:szCs w:val="24"/>
              </w:rPr>
            </w:r>
          </w:p>
          <w:p w14:paraId="5DC3B301" w14:textId="4C2A2AE6">
            <w:pPr>
              <w:pStyle w:val="1145"/>
              <w:numPr>
                <w:ilvl w:val="0"/>
                <w:numId w:val="15"/>
              </w:numPr>
              <w:pBdr/>
              <w:spacing/>
              <w:ind/>
              <w:rPr>
                <w:rFonts w:cstheme="minorHAnsi"/>
                <w:bCs/>
                <w:szCs w:val="24"/>
              </w:rPr>
            </w:pPr>
            <w:r>
              <w:rPr>
                <w:rFonts w:cstheme="minorHAnsi"/>
                <w:bCs/>
                <w:szCs w:val="24"/>
              </w:rPr>
              <w:t xml:space="preserve">11. 75% of respondents saw a specialist for care, and the majority reported going to a facility not in Poplar/Wolf Point to receive specialty care. </w:t>
            </w:r>
            <w:r>
              <w:rPr>
                <w:rFonts w:cstheme="minorHAnsi"/>
                <w:bCs/>
                <w:szCs w:val="24"/>
              </w:rPr>
            </w:r>
          </w:p>
        </w:tc>
      </w:tr>
      <w:tr>
        <w:trPr>
          <w:trHeight w:val="2501"/>
        </w:trPr>
        <w:tc>
          <w:tcPr>
            <w:gridSpan w:val="6"/>
            <w:shd w:val="clear" w:color="auto" w:fill="f5e7d8" w:themeFill="accent3" w:themeFillTint="33"/>
            <w:tcBorders/>
            <w:tcW w:w="14134" w:type="dxa"/>
            <w:vAlign w:val="center"/>
          </w:tcPr>
          <w:p w14:paraId="06EF0149" w14:textId="77777777">
            <w:pPr>
              <w:pBdr/>
              <w:spacing w:line="276" w:lineRule="auto"/>
              <w:ind/>
              <w:rPr>
                <w:rFonts w:cstheme="minorHAnsi"/>
                <w:b/>
                <w:szCs w:val="24"/>
              </w:rPr>
            </w:pPr>
            <w:r>
              <w:rPr>
                <w:rFonts w:cstheme="minorHAnsi"/>
                <w:b/>
                <w:szCs w:val="24"/>
              </w:rPr>
              <w:t xml:space="preserve">Anticipated Impact(s) of these Activities:</w:t>
            </w:r>
            <w:r>
              <w:rPr>
                <w:rFonts w:cstheme="minorHAnsi"/>
                <w:b/>
                <w:szCs w:val="24"/>
              </w:rPr>
            </w:r>
          </w:p>
          <w:p w14:paraId="017A137D" w14:textId="1C95CF5A">
            <w:pPr>
              <w:pStyle w:val="1145"/>
              <w:numPr>
                <w:ilvl w:val="0"/>
                <w:numId w:val="2"/>
              </w:numPr>
              <w:pBdr/>
              <w:spacing w:line="276" w:lineRule="auto"/>
              <w:ind/>
              <w:rPr>
                <w:rFonts w:cstheme="minorHAnsi"/>
                <w:szCs w:val="24"/>
              </w:rPr>
            </w:pPr>
            <w:r>
              <w:t xml:space="preserve">Improved access to specialized care locally</w:t>
            </w:r>
            <w:r>
              <w:rPr>
                <w:rFonts w:cstheme="minorHAnsi"/>
                <w:szCs w:val="24"/>
              </w:rPr>
            </w:r>
          </w:p>
          <w:p w14:paraId="2BB26337" w14:textId="77777777">
            <w:pPr>
              <w:pStyle w:val="1145"/>
              <w:numPr>
                <w:ilvl w:val="0"/>
                <w:numId w:val="2"/>
              </w:numPr>
              <w:pBdr/>
              <w:spacing w:line="276" w:lineRule="auto"/>
              <w:ind/>
              <w:rPr>
                <w:rFonts w:cstheme="minorHAnsi"/>
                <w:szCs w:val="24"/>
              </w:rPr>
            </w:pPr>
            <w:r>
              <w:t xml:space="preserve">Increased ability to see providers without traveling </w:t>
            </w:r>
            <w:r>
              <w:rPr>
                <w:rFonts w:cstheme="minorHAnsi"/>
                <w:szCs w:val="24"/>
              </w:rPr>
            </w:r>
          </w:p>
          <w:p w14:paraId="4E40C0E9" w14:textId="77777777">
            <w:pPr>
              <w:pStyle w:val="1145"/>
              <w:numPr>
                <w:ilvl w:val="0"/>
                <w:numId w:val="2"/>
              </w:numPr>
              <w:pBdr/>
              <w:spacing w:line="276" w:lineRule="auto"/>
              <w:ind/>
              <w:rPr>
                <w:rFonts w:cstheme="minorHAnsi"/>
                <w:szCs w:val="24"/>
              </w:rPr>
            </w:pPr>
            <w:r>
              <w:t xml:space="preserve">Eased travel burden on rural residents</w:t>
            </w:r>
            <w:r>
              <w:rPr>
                <w:rFonts w:cstheme="minorHAnsi"/>
                <w:szCs w:val="24"/>
              </w:rPr>
            </w:r>
          </w:p>
          <w:p w14:paraId="05924C35" w14:textId="77777777">
            <w:pPr>
              <w:pStyle w:val="1145"/>
              <w:numPr>
                <w:ilvl w:val="0"/>
                <w:numId w:val="2"/>
              </w:numPr>
              <w:pBdr/>
              <w:spacing w:line="276" w:lineRule="auto"/>
              <w:ind/>
              <w:rPr>
                <w:rFonts w:cstheme="minorHAnsi"/>
                <w:szCs w:val="24"/>
              </w:rPr>
            </w:pPr>
            <w:r>
              <w:t xml:space="preserve">Improved health outcomes</w:t>
            </w:r>
            <w:r>
              <w:rPr>
                <w:rFonts w:cstheme="minorHAnsi"/>
                <w:szCs w:val="24"/>
              </w:rPr>
            </w:r>
          </w:p>
          <w:p w14:paraId="6EA85266" w14:textId="77777777">
            <w:pPr>
              <w:pStyle w:val="1145"/>
              <w:numPr>
                <w:ilvl w:val="0"/>
                <w:numId w:val="2"/>
              </w:numPr>
              <w:pBdr/>
              <w:spacing w:line="276" w:lineRule="auto"/>
              <w:ind/>
              <w:rPr>
                <w:rFonts w:cstheme="minorHAnsi"/>
                <w:szCs w:val="24"/>
              </w:rPr>
            </w:pPr>
            <w:r>
              <w:t xml:space="preserve">Improved community collaboration</w:t>
            </w:r>
            <w:r>
              <w:rPr>
                <w:rFonts w:cstheme="minorHAnsi"/>
                <w:szCs w:val="24"/>
              </w:rPr>
            </w:r>
          </w:p>
          <w:p w14:paraId="5EB7E048" w14:textId="0147C34E">
            <w:pPr>
              <w:pStyle w:val="1145"/>
              <w:numPr>
                <w:ilvl w:val="0"/>
                <w:numId w:val="2"/>
              </w:numPr>
              <w:pBdr/>
              <w:spacing w:line="276" w:lineRule="auto"/>
              <w:ind/>
              <w:rPr>
                <w:rFonts w:cstheme="minorHAnsi"/>
                <w:szCs w:val="24"/>
              </w:rPr>
            </w:pPr>
            <w:r>
              <w:t xml:space="preserve">Community capacity building </w:t>
            </w:r>
            <w:r>
              <w:rPr>
                <w:rFonts w:cstheme="minorHAnsi"/>
                <w:szCs w:val="24"/>
              </w:rPr>
            </w:r>
          </w:p>
        </w:tc>
      </w:tr>
      <w:tr>
        <w:trPr>
          <w:trHeight w:val="2150"/>
        </w:trPr>
        <w:tc>
          <w:tcPr>
            <w:gridSpan w:val="6"/>
            <w:shd w:val="clear" w:color="auto" w:fill="f5e7d8" w:themeFill="accent3" w:themeFillTint="33"/>
            <w:tcBorders/>
            <w:tcW w:w="14134" w:type="dxa"/>
            <w:vAlign w:val="center"/>
          </w:tcPr>
          <w:p w14:paraId="38CA84FC" w14:textId="77777777">
            <w:pPr>
              <w:pBdr/>
              <w:spacing w:line="276" w:lineRule="auto"/>
              <w:ind/>
              <w:rPr>
                <w:rFonts w:cstheme="minorHAnsi"/>
                <w:b/>
                <w:szCs w:val="24"/>
              </w:rPr>
            </w:pPr>
            <w:r>
              <w:rPr>
                <w:rFonts w:cstheme="minorHAnsi"/>
                <w:b/>
                <w:szCs w:val="24"/>
              </w:rPr>
              <w:t xml:space="preserve">Plan to Evaluate Anticipated Impact(s) of these Activities:</w:t>
            </w:r>
            <w:r>
              <w:rPr>
                <w:rFonts w:cstheme="minorHAnsi"/>
                <w:b/>
                <w:szCs w:val="24"/>
              </w:rPr>
            </w:r>
          </w:p>
          <w:p w14:paraId="4EE2F55C" w14:textId="7069DD93">
            <w:pPr>
              <w:pStyle w:val="1145"/>
              <w:numPr>
                <w:ilvl w:val="0"/>
                <w:numId w:val="2"/>
              </w:numPr>
              <w:pBdr/>
              <w:spacing w:line="276" w:lineRule="auto"/>
              <w:ind/>
              <w:rPr/>
            </w:pPr>
            <w:r>
              <w:t xml:space="preserve">Determine services that residents are traveling for</w:t>
            </w:r>
            <w:r/>
          </w:p>
          <w:p w14:paraId="51529A10" w14:textId="77777777">
            <w:pPr>
              <w:pStyle w:val="1145"/>
              <w:numPr>
                <w:ilvl w:val="0"/>
                <w:numId w:val="2"/>
              </w:numPr>
              <w:pBdr/>
              <w:spacing w:line="276" w:lineRule="auto"/>
              <w:ind/>
              <w:rPr/>
            </w:pPr>
            <w:r>
              <w:t xml:space="preserve">Document efforts to bring those services to the area </w:t>
            </w:r>
            <w:r/>
          </w:p>
          <w:p w14:paraId="451EB630" w14:textId="77777777">
            <w:pPr>
              <w:pStyle w:val="1145"/>
              <w:numPr>
                <w:ilvl w:val="0"/>
                <w:numId w:val="2"/>
              </w:numPr>
              <w:pBdr/>
              <w:spacing w:line="276" w:lineRule="auto"/>
              <w:ind/>
              <w:rPr/>
            </w:pPr>
            <w:r>
              <w:t xml:space="preserve">Document efforts to build/bolster relationships with specialists and nearby facilities</w:t>
            </w:r>
            <w:r/>
          </w:p>
          <w:p w14:paraId="72DF03AD" w14:textId="77777777">
            <w:pPr>
              <w:pStyle w:val="1145"/>
              <w:numPr>
                <w:ilvl w:val="0"/>
                <w:numId w:val="2"/>
              </w:numPr>
              <w:pBdr/>
              <w:spacing w:line="276" w:lineRule="auto"/>
              <w:ind/>
              <w:rPr/>
            </w:pPr>
            <w:r>
              <w:t xml:space="preserve">Track feasibility of assisting with new transportation vehicle </w:t>
            </w:r>
            <w:r/>
          </w:p>
          <w:p w14:paraId="4C5C7FC7" w14:textId="67697776">
            <w:pPr>
              <w:pStyle w:val="1145"/>
              <w:numPr>
                <w:ilvl w:val="0"/>
                <w:numId w:val="2"/>
              </w:numPr>
              <w:pBdr/>
              <w:spacing w:line="276" w:lineRule="auto"/>
              <w:ind/>
              <w:rPr/>
            </w:pPr>
            <w:r>
              <w:t xml:space="preserve">Track continued support of tribal and veteran transport services</w:t>
            </w:r>
            <w:r/>
          </w:p>
        </w:tc>
      </w:tr>
      <w:tr>
        <w:trPr>
          <w:trHeight w:val="512"/>
        </w:trPr>
        <w:tc>
          <w:tcPr>
            <w:gridSpan w:val="6"/>
            <w:shd w:val="clear" w:color="auto" w:fill="f5e7d8" w:themeFill="accent3" w:themeFillTint="33"/>
            <w:tcBorders/>
            <w:tcW w:w="14134" w:type="dxa"/>
            <w:vAlign w:val="center"/>
          </w:tcPr>
          <w:p w14:paraId="4F12964C" w14:textId="79585C39">
            <w:pPr>
              <w:pBdr/>
              <w:spacing/>
              <w:ind/>
              <w:rPr/>
            </w:pPr>
            <w:r>
              <w:rPr>
                <w:b/>
                <w:bCs/>
              </w:rPr>
              <w:t xml:space="preserve">Measure of Success:</w:t>
            </w:r>
            <w:r>
              <w:t xml:space="preserve"> </w:t>
            </w:r>
            <w:r>
              <w:t xml:space="preserve">More care and services offered locally. </w:t>
            </w:r>
            <w:r/>
          </w:p>
        </w:tc>
      </w:tr>
    </w:tbl>
    <w:p w14:paraId="5286AE2E" w14:textId="7B94C81F">
      <w:pPr>
        <w:pBdr/>
        <w:spacing/>
        <w:ind/>
        <w:rPr/>
      </w:pPr>
      <w:r/>
      <w:r/>
    </w:p>
    <w:tbl>
      <w:tblPr>
        <w:tblStyle w:val="1138"/>
        <w:tblInd w:w="-459" w:type="dxa"/>
        <w:tblW w:w="14134" w:type="dxa"/>
        <w:tblBorders>
          <w:top w:val="single" w:color="ce8d3e" w:themeColor="accent3" w:sz="4" w:space="0"/>
          <w:left w:val="single" w:color="ce8d3e" w:themeColor="accent3" w:sz="4" w:space="0"/>
          <w:bottom w:val="single" w:color="ce8d3e" w:themeColor="accent3" w:sz="4" w:space="0"/>
          <w:right w:val="single" w:color="ce8d3e" w:themeColor="accent3" w:sz="4" w:space="0"/>
          <w:insideH w:val="single" w:color="ce8d3e" w:themeColor="accent3" w:sz="4" w:space="0"/>
          <w:insideV w:val="single" w:color="ce8d3e" w:themeColor="accent3" w:sz="4" w:space="0"/>
        </w:tblBorders>
        <w:tblLayout w:type="fixed"/>
        <w:tblLook w:val="04A0" w:firstRow="1" w:lastRow="0" w:firstColumn="1" w:lastColumn="0" w:noHBand="0" w:noVBand="1"/>
      </w:tblPr>
      <w:tblGrid>
        <w:gridCol w:w="3874"/>
        <w:gridCol w:w="2337"/>
        <w:gridCol w:w="1311"/>
        <w:gridCol w:w="1833"/>
        <w:gridCol w:w="2006"/>
        <w:gridCol w:w="2773"/>
      </w:tblGrid>
      <w:tr>
        <w:trPr>
          <w:trHeight w:val="530"/>
        </w:trPr>
        <w:tc>
          <w:tcPr>
            <w:gridSpan w:val="6"/>
            <w:shd w:val="clear" w:color="auto" w:fill="e1ba8b" w:themeFill="accent3" w:themeFillTint="99"/>
            <w:tcBorders/>
            <w:tcW w:w="14134" w:type="dxa"/>
            <w:vAlign w:val="center"/>
          </w:tcPr>
          <w:p w14:paraId="4760469E" w14:textId="77777777">
            <w:pPr>
              <w:pBdr/>
              <w:spacing/>
              <w:ind/>
              <w:rPr>
                <w:rFonts w:cstheme="minorHAnsi"/>
                <w:b/>
                <w:szCs w:val="24"/>
              </w:rPr>
            </w:pPr>
            <w:r>
              <w:rPr>
                <w:rFonts w:cstheme="minorHAnsi"/>
                <w:b/>
                <w:szCs w:val="24"/>
              </w:rPr>
              <w:t xml:space="preserve">Goal 1: Improve access to health resources and services in Roosevelt County. </w:t>
            </w:r>
            <w:r>
              <w:rPr>
                <w:rFonts w:cstheme="minorHAnsi"/>
                <w:b/>
                <w:szCs w:val="24"/>
              </w:rPr>
            </w:r>
          </w:p>
        </w:tc>
      </w:tr>
      <w:tr>
        <w:trPr>
          <w:trHeight w:val="530"/>
        </w:trPr>
        <w:tc>
          <w:tcPr>
            <w:gridSpan w:val="6"/>
            <w:shd w:val="clear" w:color="auto" w:fill="e1ba8b" w:themeFill="accent3" w:themeFillTint="99"/>
            <w:tcBorders/>
            <w:tcW w:w="14134" w:type="dxa"/>
            <w:vAlign w:val="center"/>
          </w:tcPr>
          <w:p w14:paraId="3A11C932" w14:textId="13E5CED3">
            <w:pPr>
              <w:pBdr/>
              <w:spacing/>
              <w:ind/>
              <w:rPr>
                <w:rFonts w:cstheme="minorHAnsi"/>
                <w:szCs w:val="24"/>
              </w:rPr>
            </w:pPr>
            <w:r>
              <w:rPr>
                <w:rFonts w:cstheme="minorHAnsi"/>
                <w:b/>
                <w:szCs w:val="24"/>
              </w:rPr>
              <w:t xml:space="preserve">Strategy 1.3:</w:t>
            </w:r>
            <w:r>
              <w:rPr>
                <w:rFonts w:cstheme="minorHAnsi"/>
                <w:szCs w:val="24"/>
              </w:rPr>
              <w:t xml:space="preserve"> </w:t>
            </w:r>
            <w:r>
              <w:rPr>
                <w:rFonts w:cstheme="minorHAnsi"/>
                <w:b/>
                <w:szCs w:val="24"/>
              </w:rPr>
              <w:t xml:space="preserve">Explore if RHTP funding opportunities can be utilized to increase access to care locally.</w:t>
            </w:r>
            <w:r>
              <w:rPr>
                <w:rFonts w:cstheme="minorHAnsi"/>
                <w:szCs w:val="24"/>
              </w:rPr>
            </w:r>
          </w:p>
        </w:tc>
      </w:tr>
      <w:tr>
        <w:trPr>
          <w:trHeight w:val="432"/>
        </w:trPr>
        <w:tc>
          <w:tcPr>
            <w:shd w:val="clear" w:color="auto" w:fill="a06928" w:themeFill="accent3" w:themeFillShade="BF"/>
            <w:tcBorders/>
            <w:tcW w:w="3874" w:type="dxa"/>
            <w:vAlign w:val="center"/>
          </w:tcPr>
          <w:p w14:paraId="28413100" w14:textId="77777777">
            <w:pPr>
              <w:pBdr/>
              <w:spacing/>
              <w:ind/>
              <w:jc w:val="center"/>
              <w:rPr>
                <w:rFonts w:cstheme="minorHAnsi"/>
                <w:b/>
                <w:color w:val="ffffff" w:themeColor="background1"/>
                <w:szCs w:val="24"/>
              </w:rPr>
            </w:pPr>
            <w:r>
              <w:rPr>
                <w:rFonts w:cstheme="minorHAnsi"/>
                <w:b/>
                <w:color w:val="ffffff" w:themeColor="background1"/>
                <w:szCs w:val="24"/>
              </w:rPr>
              <w:t xml:space="preserve">Activities</w:t>
            </w:r>
            <w:r>
              <w:rPr>
                <w:rFonts w:cstheme="minorHAnsi"/>
                <w:b/>
                <w:color w:val="ffffff" w:themeColor="background1"/>
                <w:szCs w:val="24"/>
              </w:rPr>
            </w:r>
          </w:p>
        </w:tc>
        <w:tc>
          <w:tcPr>
            <w:shd w:val="clear" w:color="auto" w:fill="a06928" w:themeFill="accent3" w:themeFillShade="BF"/>
            <w:tcBorders/>
            <w:tcW w:w="2337" w:type="dxa"/>
            <w:vAlign w:val="center"/>
          </w:tcPr>
          <w:p w14:paraId="68019A19" w14:textId="77777777">
            <w:pPr>
              <w:pBdr/>
              <w:spacing/>
              <w:ind/>
              <w:jc w:val="center"/>
              <w:rPr>
                <w:rFonts w:cstheme="minorHAnsi"/>
                <w:b/>
                <w:color w:val="ffffff" w:themeColor="background1"/>
                <w:szCs w:val="24"/>
              </w:rPr>
            </w:pPr>
            <w:r>
              <w:rPr>
                <w:rFonts w:cstheme="minorHAnsi"/>
                <w:b/>
                <w:color w:val="ffffff" w:themeColor="background1"/>
                <w:szCs w:val="24"/>
              </w:rPr>
              <w:t xml:space="preserve">Responsibility</w:t>
            </w:r>
            <w:r>
              <w:rPr>
                <w:rFonts w:cstheme="minorHAnsi"/>
                <w:b/>
                <w:color w:val="ffffff" w:themeColor="background1"/>
                <w:szCs w:val="24"/>
              </w:rPr>
            </w:r>
          </w:p>
        </w:tc>
        <w:tc>
          <w:tcPr>
            <w:shd w:val="clear" w:color="auto" w:fill="a06928" w:themeFill="accent3" w:themeFillShade="BF"/>
            <w:tcBorders/>
            <w:tcW w:w="1311" w:type="dxa"/>
            <w:vAlign w:val="center"/>
          </w:tcPr>
          <w:p w14:paraId="2081ADC4" w14:textId="77777777">
            <w:pPr>
              <w:pBdr/>
              <w:spacing/>
              <w:ind/>
              <w:jc w:val="center"/>
              <w:rPr>
                <w:rFonts w:cstheme="minorHAnsi"/>
                <w:b/>
                <w:color w:val="ffffff" w:themeColor="background1"/>
                <w:szCs w:val="24"/>
              </w:rPr>
            </w:pPr>
            <w:r>
              <w:rPr>
                <w:rFonts w:cstheme="minorHAnsi"/>
                <w:b/>
                <w:color w:val="ffffff" w:themeColor="background1"/>
                <w:szCs w:val="24"/>
              </w:rPr>
              <w:t xml:space="preserve">Timeline</w:t>
            </w:r>
            <w:r>
              <w:rPr>
                <w:rFonts w:cstheme="minorHAnsi"/>
                <w:b/>
                <w:color w:val="ffffff" w:themeColor="background1"/>
                <w:szCs w:val="24"/>
              </w:rPr>
            </w:r>
          </w:p>
        </w:tc>
        <w:tc>
          <w:tcPr>
            <w:shd w:val="clear" w:color="auto" w:fill="a06928" w:themeFill="accent3" w:themeFillShade="BF"/>
            <w:tcBorders/>
            <w:tcW w:w="1833" w:type="dxa"/>
            <w:vAlign w:val="center"/>
          </w:tcPr>
          <w:p w14:paraId="29F3F545" w14:textId="77777777">
            <w:pPr>
              <w:pBdr/>
              <w:spacing/>
              <w:ind/>
              <w:jc w:val="center"/>
              <w:rPr>
                <w:rFonts w:cstheme="minorHAnsi"/>
                <w:b/>
                <w:color w:val="ffffff" w:themeColor="background1"/>
                <w:szCs w:val="24"/>
              </w:rPr>
            </w:pPr>
            <w:r>
              <w:rPr>
                <w:rFonts w:cstheme="minorHAnsi"/>
                <w:b/>
                <w:color w:val="ffffff" w:themeColor="background1"/>
                <w:szCs w:val="24"/>
              </w:rPr>
              <w:t xml:space="preserve">Final Approval</w:t>
            </w:r>
            <w:r>
              <w:rPr>
                <w:rFonts w:cstheme="minorHAnsi"/>
                <w:b/>
                <w:color w:val="ffffff" w:themeColor="background1"/>
                <w:szCs w:val="24"/>
              </w:rPr>
            </w:r>
          </w:p>
        </w:tc>
        <w:tc>
          <w:tcPr>
            <w:shd w:val="clear" w:color="auto" w:fill="a06928" w:themeFill="accent3" w:themeFillShade="BF"/>
            <w:tcBorders/>
            <w:tcW w:w="2006" w:type="dxa"/>
            <w:vAlign w:val="center"/>
          </w:tcPr>
          <w:p w14:paraId="0F153355" w14:textId="77777777">
            <w:pPr>
              <w:pBdr/>
              <w:spacing/>
              <w:ind/>
              <w:jc w:val="center"/>
              <w:rPr>
                <w:rFonts w:cstheme="minorHAnsi"/>
                <w:b/>
                <w:color w:val="ffffff" w:themeColor="background1"/>
                <w:szCs w:val="24"/>
              </w:rPr>
            </w:pPr>
            <w:r>
              <w:rPr>
                <w:rFonts w:cstheme="minorHAnsi"/>
                <w:b/>
                <w:color w:val="ffffff" w:themeColor="background1"/>
                <w:szCs w:val="24"/>
              </w:rPr>
              <w:t xml:space="preserve">Partners</w:t>
            </w:r>
            <w:r>
              <w:rPr>
                <w:rFonts w:cstheme="minorHAnsi"/>
                <w:b/>
                <w:color w:val="ffffff" w:themeColor="background1"/>
                <w:szCs w:val="24"/>
              </w:rPr>
            </w:r>
          </w:p>
        </w:tc>
        <w:tc>
          <w:tcPr>
            <w:shd w:val="clear" w:color="auto" w:fill="a06928" w:themeFill="accent3" w:themeFillShade="BF"/>
            <w:tcBorders/>
            <w:tcW w:w="2773" w:type="dxa"/>
            <w:vAlign w:val="center"/>
          </w:tcPr>
          <w:p w14:paraId="3B5F007F" w14:textId="77777777">
            <w:pPr>
              <w:pBdr/>
              <w:spacing/>
              <w:ind/>
              <w:jc w:val="center"/>
              <w:rPr>
                <w:rFonts w:cstheme="minorHAnsi"/>
                <w:b/>
                <w:color w:val="ffffff" w:themeColor="background1"/>
                <w:szCs w:val="24"/>
              </w:rPr>
            </w:pPr>
            <w:r>
              <w:rPr>
                <w:rFonts w:cstheme="minorHAnsi"/>
                <w:b/>
                <w:color w:val="ffffff" w:themeColor="background1"/>
                <w:szCs w:val="24"/>
              </w:rPr>
              <w:t xml:space="preserve">Potential Barriers </w:t>
            </w:r>
            <w:r>
              <w:rPr>
                <w:rFonts w:cstheme="minorHAnsi"/>
                <w:b/>
                <w:color w:val="ffffff" w:themeColor="background1"/>
                <w:szCs w:val="24"/>
              </w:rPr>
            </w:r>
          </w:p>
        </w:tc>
      </w:tr>
      <w:tr>
        <w:trPr>
          <w:trHeight w:val="719"/>
        </w:trPr>
        <w:tc>
          <w:tcPr>
            <w:shd w:val="clear" w:color="auto" w:fill="f5e7d8" w:themeFill="accent3" w:themeFillTint="33"/>
            <w:tcBorders/>
            <w:tcW w:w="3874" w:type="dxa"/>
            <w:vAlign w:val="center"/>
          </w:tcPr>
          <w:p w14:paraId="717668FB" w14:textId="3E13BB1E">
            <w:pPr>
              <w:pBdr/>
              <w:spacing w:after="40" w:before="40"/>
              <w:ind/>
              <w:rPr>
                <w:rFonts w:cstheme="minorHAnsi"/>
                <w:szCs w:val="24"/>
              </w:rPr>
            </w:pPr>
            <w:r>
              <w:rPr>
                <w:rFonts w:cstheme="minorHAnsi"/>
                <w:szCs w:val="24"/>
              </w:rPr>
              <w:t xml:space="preserve">Monitor funding calls with an eye towards fixing NEMHS network, bringing on a general surgeon, and improved PT services to increase both ease and access to care locally.</w:t>
            </w:r>
            <w:r>
              <w:rPr>
                <w:rFonts w:cstheme="minorHAnsi"/>
                <w:szCs w:val="24"/>
              </w:rPr>
            </w:r>
          </w:p>
        </w:tc>
        <w:tc>
          <w:tcPr>
            <w:shd w:val="clear" w:color="auto" w:fill="f5e7d8" w:themeFill="accent3" w:themeFillTint="33"/>
            <w:tcBorders/>
            <w:tcW w:w="2337" w:type="dxa"/>
            <w:vAlign w:val="center"/>
          </w:tcPr>
          <w:p w14:paraId="66A6611D" w14:textId="778F6A9D">
            <w:pPr>
              <w:pBdr/>
              <w:spacing w:after="40" w:before="40"/>
              <w:ind/>
              <w:jc w:val="center"/>
              <w:rPr>
                <w:rFonts w:cstheme="minorHAnsi"/>
                <w:szCs w:val="24"/>
              </w:rPr>
            </w:pPr>
            <w:r>
              <w:rPr>
                <w:rFonts w:cstheme="minorHAnsi"/>
                <w:szCs w:val="24"/>
              </w:rPr>
              <w:t xml:space="preserve">Roger Fisher</w:t>
            </w:r>
            <w:r>
              <w:rPr>
                <w:rFonts w:cstheme="minorHAnsi"/>
                <w:szCs w:val="24"/>
              </w:rPr>
              <w:t xml:space="preserve">, Scott Olander and Tiffany Smith</w:t>
            </w:r>
            <w:r>
              <w:rPr>
                <w:rFonts w:cstheme="minorHAnsi"/>
                <w:szCs w:val="24"/>
              </w:rPr>
            </w:r>
          </w:p>
        </w:tc>
        <w:tc>
          <w:tcPr>
            <w:shd w:val="clear" w:color="auto" w:fill="f5e7d8" w:themeFill="accent3" w:themeFillTint="33"/>
            <w:tcBorders/>
            <w:tcW w:w="1311" w:type="dxa"/>
            <w:vAlign w:val="center"/>
          </w:tcPr>
          <w:p w14:paraId="17E88003" w14:textId="03B0E2E6">
            <w:pPr>
              <w:pBdr/>
              <w:spacing w:after="40" w:before="40"/>
              <w:ind/>
              <w:jc w:val="center"/>
              <w:rPr>
                <w:rFonts w:cstheme="minorHAnsi"/>
                <w:szCs w:val="24"/>
              </w:rPr>
            </w:pPr>
            <w:r>
              <w:rPr>
                <w:rFonts w:cstheme="minorHAnsi"/>
                <w:szCs w:val="24"/>
              </w:rPr>
              <w:t xml:space="preserve">Ongoing</w:t>
            </w:r>
            <w:r>
              <w:rPr>
                <w:rFonts w:cstheme="minorHAnsi"/>
                <w:szCs w:val="24"/>
              </w:rPr>
            </w:r>
          </w:p>
        </w:tc>
        <w:tc>
          <w:tcPr>
            <w:shd w:val="clear" w:color="auto" w:fill="f5e7d8" w:themeFill="accent3" w:themeFillTint="33"/>
            <w:tcBorders/>
            <w:tcW w:w="1833" w:type="dxa"/>
            <w:vAlign w:val="center"/>
          </w:tcPr>
          <w:p w14:paraId="4D83AAD6" w14:textId="65CAD99B">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4F3DB2FA" w14:textId="520E1071">
            <w:pPr>
              <w:pBdr/>
              <w:spacing w:after="40" w:before="40"/>
              <w:ind/>
              <w:jc w:val="center"/>
              <w:rPr>
                <w:rFonts w:cstheme="minorHAnsi"/>
                <w:szCs w:val="24"/>
              </w:rPr>
            </w:pPr>
            <w:r>
              <w:rPr>
                <w:rFonts w:cstheme="minorHAnsi"/>
                <w:szCs w:val="24"/>
              </w:rPr>
              <w:t xml:space="preserve">State of Montan</w:t>
            </w:r>
            <w:r>
              <w:rPr>
                <w:rFonts w:cstheme="minorHAnsi"/>
                <w:szCs w:val="24"/>
              </w:rPr>
              <w:t xml:space="preserve">a and </w:t>
            </w:r>
            <w:r>
              <w:rPr>
                <w:rFonts w:cstheme="minorHAnsi"/>
                <w:szCs w:val="24"/>
              </w:rPr>
              <w:t xml:space="preserve">local Heath Care providers</w:t>
            </w:r>
            <w:r>
              <w:rPr>
                <w:rFonts w:cstheme="minorHAnsi"/>
                <w:szCs w:val="24"/>
              </w:rPr>
            </w:r>
          </w:p>
        </w:tc>
        <w:tc>
          <w:tcPr>
            <w:shd w:val="clear" w:color="auto" w:fill="f5e7d8" w:themeFill="accent3" w:themeFillTint="33"/>
            <w:tcBorders/>
            <w:tcW w:w="2773" w:type="dxa"/>
            <w:vAlign w:val="center"/>
          </w:tcPr>
          <w:p w14:paraId="0D07F57E" w14:textId="34E9FD9D">
            <w:pPr>
              <w:pBdr/>
              <w:spacing w:after="40" w:before="40"/>
              <w:ind/>
              <w:jc w:val="center"/>
              <w:rPr>
                <w:rFonts w:cstheme="minorHAnsi"/>
                <w:szCs w:val="24"/>
              </w:rPr>
            </w:pPr>
            <w:r>
              <w:rPr>
                <w:rFonts w:cstheme="minorHAnsi"/>
                <w:szCs w:val="24"/>
              </w:rPr>
              <w:t xml:space="preserve">Specialists willing to live and work in rural sett</w:t>
            </w:r>
            <w:r>
              <w:rPr>
                <w:rFonts w:cstheme="minorHAnsi"/>
                <w:szCs w:val="24"/>
              </w:rPr>
              <w:t xml:space="preserve">ing</w:t>
            </w:r>
            <w:r>
              <w:rPr>
                <w:rFonts w:cstheme="minorHAnsi"/>
                <w:szCs w:val="24"/>
              </w:rPr>
            </w:r>
          </w:p>
        </w:tc>
      </w:tr>
      <w:tr>
        <w:trPr>
          <w:trHeight w:val="1034"/>
        </w:trPr>
        <w:tc>
          <w:tcPr>
            <w:shd w:val="clear" w:color="auto" w:fill="f5e7d8" w:themeFill="accent3" w:themeFillTint="33"/>
            <w:tcBorders/>
            <w:tcW w:w="3874" w:type="dxa"/>
            <w:vAlign w:val="center"/>
          </w:tcPr>
          <w:p w14:paraId="0D43961D" w14:textId="7DE69AF0">
            <w:pPr>
              <w:pBdr/>
              <w:spacing w:after="40" w:before="40"/>
              <w:ind/>
              <w:rPr>
                <w:rFonts w:cstheme="minorHAnsi"/>
                <w:szCs w:val="24"/>
              </w:rPr>
            </w:pPr>
            <w:r>
              <w:rPr>
                <w:rFonts w:cstheme="minorHAnsi"/>
              </w:rPr>
              <w:t xml:space="preserve">Continue to examine if and how local needs fit into RHTP Objectives.</w:t>
            </w:r>
            <w:r>
              <w:rPr>
                <w:rFonts w:cstheme="minorHAnsi"/>
                <w:szCs w:val="24"/>
              </w:rPr>
            </w:r>
          </w:p>
        </w:tc>
        <w:tc>
          <w:tcPr>
            <w:shd w:val="clear" w:color="auto" w:fill="f5e7d8" w:themeFill="accent3" w:themeFillTint="33"/>
            <w:tcBorders/>
            <w:tcW w:w="2337" w:type="dxa"/>
            <w:vAlign w:val="center"/>
          </w:tcPr>
          <w:p w14:paraId="74E28AE8" w14:textId="29093145">
            <w:pPr>
              <w:pBdr/>
              <w:spacing w:after="40" w:before="40"/>
              <w:ind/>
              <w:jc w:val="center"/>
              <w:rPr>
                <w:rFonts w:cstheme="minorHAnsi"/>
                <w:szCs w:val="24"/>
              </w:rPr>
            </w:pPr>
            <w:r>
              <w:rPr>
                <w:rFonts w:cstheme="minorHAnsi"/>
                <w:szCs w:val="24"/>
              </w:rPr>
              <w:t xml:space="preserve">Roger Fisher, Scott Olander and Tiffany Smith</w:t>
            </w:r>
            <w:r>
              <w:rPr>
                <w:rFonts w:cstheme="minorHAnsi"/>
                <w:szCs w:val="24"/>
              </w:rPr>
            </w:r>
          </w:p>
        </w:tc>
        <w:tc>
          <w:tcPr>
            <w:shd w:val="clear" w:color="auto" w:fill="f5e7d8" w:themeFill="accent3" w:themeFillTint="33"/>
            <w:tcBorders/>
            <w:tcW w:w="1311" w:type="dxa"/>
            <w:vAlign w:val="center"/>
          </w:tcPr>
          <w:p w14:paraId="31F7E536" w14:textId="2B023BAC">
            <w:pPr>
              <w:pBdr/>
              <w:spacing w:after="40" w:before="40"/>
              <w:ind/>
              <w:jc w:val="center"/>
              <w:rPr/>
            </w:pPr>
            <w:r>
              <w:rPr>
                <w:rFonts w:cstheme="minorHAnsi"/>
                <w:szCs w:val="24"/>
              </w:rPr>
              <w:t xml:space="preserve">Ongoing</w:t>
            </w:r>
            <w:r/>
          </w:p>
        </w:tc>
        <w:tc>
          <w:tcPr>
            <w:shd w:val="clear" w:color="auto" w:fill="f5e7d8" w:themeFill="accent3" w:themeFillTint="33"/>
            <w:tcBorders/>
            <w:tcW w:w="1833" w:type="dxa"/>
            <w:vAlign w:val="center"/>
          </w:tcPr>
          <w:p w14:paraId="0E2116EC" w14:textId="32DE3246">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5e7d8" w:themeFill="accent3" w:themeFillTint="33"/>
            <w:tcBorders/>
            <w:tcW w:w="2006" w:type="dxa"/>
            <w:vAlign w:val="center"/>
          </w:tcPr>
          <w:p w14:paraId="26790818" w14:textId="463797E1">
            <w:pPr>
              <w:pBdr/>
              <w:spacing w:after="40" w:before="40"/>
              <w:ind/>
              <w:jc w:val="center"/>
              <w:rPr>
                <w:rFonts w:cstheme="minorHAnsi"/>
                <w:szCs w:val="24"/>
              </w:rPr>
            </w:pPr>
            <w:r>
              <w:rPr>
                <w:rFonts w:cstheme="minorHAnsi"/>
                <w:szCs w:val="24"/>
              </w:rPr>
              <w:t xml:space="preserve">State of Montana and local Heath Care providers</w:t>
            </w:r>
            <w:r>
              <w:rPr>
                <w:rFonts w:cstheme="minorHAnsi"/>
                <w:szCs w:val="24"/>
              </w:rPr>
            </w:r>
          </w:p>
        </w:tc>
        <w:tc>
          <w:tcPr>
            <w:shd w:val="clear" w:color="auto" w:fill="f5e7d8" w:themeFill="accent3" w:themeFillTint="33"/>
            <w:tcBorders/>
            <w:tcW w:w="2773" w:type="dxa"/>
            <w:vAlign w:val="center"/>
          </w:tcPr>
          <w:p w14:paraId="0C384894" w14:textId="57E53108">
            <w:pPr>
              <w:pBdr/>
              <w:spacing w:after="40" w:before="40"/>
              <w:ind/>
              <w:jc w:val="center"/>
              <w:rPr/>
            </w:pPr>
            <w:r>
              <w:rPr>
                <w:rFonts w:cstheme="minorHAnsi"/>
                <w:szCs w:val="24"/>
              </w:rPr>
              <w:t xml:space="preserve">RHTP goals and expectations</w:t>
            </w:r>
            <w:r/>
          </w:p>
        </w:tc>
      </w:tr>
      <w:tr>
        <w:trPr>
          <w:trHeight w:val="4400"/>
        </w:trPr>
        <w:tc>
          <w:tcPr>
            <w:gridSpan w:val="6"/>
            <w:shd w:val="clear" w:color="auto" w:fill="f5e7d8" w:themeFill="accent3" w:themeFillTint="33"/>
            <w:tcBorders/>
            <w:tcW w:w="14134" w:type="dxa"/>
            <w:vAlign w:val="center"/>
          </w:tcPr>
          <w:p w14:paraId="242B4479" w14:textId="77777777">
            <w:pPr>
              <w:pBdr/>
              <w:spacing/>
              <w:ind/>
              <w:rPr>
                <w:rFonts w:cstheme="minorHAnsi"/>
                <w:b/>
                <w:szCs w:val="24"/>
              </w:rPr>
            </w:pPr>
            <w:r>
              <w:rPr>
                <w:rFonts w:cstheme="minorHAnsi"/>
                <w:b/>
                <w:szCs w:val="24"/>
              </w:rPr>
              <w:t xml:space="preserve">Needs Being Addressed by this Strategy:</w:t>
            </w:r>
            <w:r>
              <w:rPr>
                <w:rFonts w:cstheme="minorHAnsi"/>
                <w:b/>
                <w:szCs w:val="24"/>
              </w:rPr>
            </w:r>
          </w:p>
          <w:p w14:paraId="3BD9E02B" w14:textId="0D6654F3">
            <w:pPr>
              <w:pStyle w:val="1145"/>
              <w:numPr>
                <w:ilvl w:val="0"/>
                <w:numId w:val="15"/>
              </w:numPr>
              <w:pBdr/>
              <w:spacing/>
              <w:ind/>
              <w:rPr>
                <w:rFonts w:cstheme="minorHAnsi"/>
                <w:bCs/>
                <w:szCs w:val="24"/>
              </w:rPr>
            </w:pPr>
            <w:r>
              <w:t xml:space="preserve">1. 62% of respondents rated the general health of the community as “Unhealthy.”</w:t>
            </w:r>
            <w:r>
              <w:rPr>
                <w:rFonts w:cstheme="minorHAnsi"/>
                <w:bCs/>
                <w:szCs w:val="24"/>
              </w:rPr>
            </w:r>
          </w:p>
          <w:p w14:paraId="3079955C" w14:textId="77777777">
            <w:pPr>
              <w:pStyle w:val="1145"/>
              <w:numPr>
                <w:ilvl w:val="0"/>
                <w:numId w:val="15"/>
              </w:numPr>
              <w:pBdr/>
              <w:spacing/>
              <w:ind/>
              <w:rPr>
                <w:rFonts w:cstheme="minorHAnsi"/>
                <w:bCs/>
                <w:szCs w:val="24"/>
              </w:rPr>
            </w:pPr>
            <w:r>
              <w:rPr>
                <w:rFonts w:cstheme="minorHAnsi"/>
                <w:bCs/>
                <w:szCs w:val="24"/>
              </w:rPr>
              <w:t xml:space="preserve">3. “Healthy behaviors and lifestyles” and “Access to healthcare and other services” are the two most important things for a healthy community. </w:t>
            </w:r>
            <w:r>
              <w:rPr>
                <w:rFonts w:cstheme="minorHAnsi"/>
                <w:bCs/>
                <w:szCs w:val="24"/>
              </w:rPr>
            </w:r>
          </w:p>
          <w:p w14:paraId="63D35916" w14:textId="77777777">
            <w:pPr>
              <w:pStyle w:val="1145"/>
              <w:numPr>
                <w:ilvl w:val="0"/>
                <w:numId w:val="15"/>
              </w:numPr>
              <w:pBdr/>
              <w:spacing/>
              <w:ind/>
              <w:rPr>
                <w:rFonts w:cstheme="minorHAnsi"/>
                <w:bCs/>
                <w:szCs w:val="24"/>
              </w:rPr>
            </w:pPr>
            <w:r>
              <w:rPr>
                <w:rFonts w:cstheme="minorHAnsi"/>
                <w:bCs/>
                <w:szCs w:val="24"/>
              </w:rPr>
              <w:t xml:space="preserve">6. 14% of respondents had gotten a colonoscopy in the last year. </w:t>
            </w:r>
            <w:r>
              <w:rPr>
                <w:rFonts w:cstheme="minorHAnsi"/>
                <w:bCs/>
                <w:szCs w:val="24"/>
              </w:rPr>
            </w:r>
          </w:p>
          <w:p w14:paraId="3E0D962E" w14:textId="77777777">
            <w:pPr>
              <w:pStyle w:val="1145"/>
              <w:numPr>
                <w:ilvl w:val="0"/>
                <w:numId w:val="15"/>
              </w:numPr>
              <w:pBdr/>
              <w:spacing/>
              <w:ind/>
              <w:rPr>
                <w:rFonts w:cstheme="minorHAnsi"/>
                <w:bCs/>
                <w:szCs w:val="24"/>
              </w:rPr>
            </w:pPr>
            <w:r>
              <w:rPr>
                <w:rFonts w:cstheme="minorHAnsi"/>
                <w:bCs/>
                <w:szCs w:val="24"/>
              </w:rPr>
              <w:t xml:space="preserve">7. Many respondents indicated that they would utilize mental health services if they were available locally. </w:t>
            </w:r>
            <w:r>
              <w:rPr>
                <w:rFonts w:cstheme="minorHAnsi"/>
                <w:bCs/>
                <w:szCs w:val="24"/>
              </w:rPr>
            </w:r>
          </w:p>
          <w:p w14:paraId="2A473FD9" w14:textId="77777777">
            <w:pPr>
              <w:pStyle w:val="1145"/>
              <w:numPr>
                <w:ilvl w:val="0"/>
                <w:numId w:val="15"/>
              </w:numPr>
              <w:pBdr/>
              <w:spacing/>
              <w:ind/>
              <w:rPr>
                <w:rFonts w:cstheme="minorHAnsi"/>
                <w:bCs/>
                <w:szCs w:val="24"/>
              </w:rPr>
            </w:pPr>
            <w:r>
              <w:rPr>
                <w:rFonts w:cstheme="minorHAnsi"/>
                <w:bCs/>
                <w:szCs w:val="24"/>
              </w:rPr>
              <w:t xml:space="preserve">8. Respondents wrote in that they would like to see more dentistry offered locally. </w:t>
            </w:r>
            <w:r>
              <w:rPr>
                <w:rFonts w:cstheme="minorHAnsi"/>
                <w:bCs/>
                <w:szCs w:val="24"/>
              </w:rPr>
            </w:r>
          </w:p>
          <w:p w14:paraId="0A693935" w14:textId="77777777">
            <w:pPr>
              <w:pStyle w:val="1145"/>
              <w:numPr>
                <w:ilvl w:val="0"/>
                <w:numId w:val="15"/>
              </w:numPr>
              <w:pBdr/>
              <w:spacing/>
              <w:ind/>
              <w:rPr>
                <w:rFonts w:cstheme="minorHAnsi"/>
                <w:bCs/>
                <w:szCs w:val="24"/>
              </w:rPr>
            </w:pPr>
            <w:r>
              <w:rPr>
                <w:rFonts w:cstheme="minorHAnsi"/>
                <w:bCs/>
                <w:szCs w:val="24"/>
              </w:rPr>
              <w:t xml:space="preserve">9. 32% of respondents report that they utilize hospitals outside of Poplar/Wolf Point, and many cited services offered as their reason why they visited a specific hospital. </w:t>
            </w:r>
            <w:r>
              <w:rPr>
                <w:rFonts w:cstheme="minorHAnsi"/>
                <w:bCs/>
                <w:szCs w:val="24"/>
              </w:rPr>
            </w:r>
          </w:p>
          <w:p w14:paraId="66345B46" w14:textId="77777777">
            <w:pPr>
              <w:pStyle w:val="1145"/>
              <w:numPr>
                <w:ilvl w:val="0"/>
                <w:numId w:val="15"/>
              </w:numPr>
              <w:pBdr/>
              <w:spacing/>
              <w:ind/>
              <w:rPr>
                <w:rFonts w:cstheme="minorHAnsi"/>
                <w:bCs/>
                <w:szCs w:val="24"/>
              </w:rPr>
            </w:pPr>
            <w:r>
              <w:rPr>
                <w:rFonts w:cstheme="minorHAnsi"/>
                <w:bCs/>
                <w:szCs w:val="24"/>
              </w:rPr>
              <w:t xml:space="preserve">11. 75% of respondents saw a specialist for care, and the majority reported going to a facility not in Poplar/Wolf Point to receive specialty care. </w:t>
            </w:r>
            <w:r>
              <w:rPr>
                <w:rFonts w:cstheme="minorHAnsi"/>
                <w:bCs/>
                <w:szCs w:val="24"/>
              </w:rPr>
            </w:r>
          </w:p>
          <w:p w14:paraId="2AEE9F3D" w14:textId="18C3D8D2">
            <w:pPr>
              <w:pStyle w:val="1145"/>
              <w:numPr>
                <w:ilvl w:val="0"/>
                <w:numId w:val="15"/>
              </w:numPr>
              <w:pBdr/>
              <w:spacing/>
              <w:ind/>
              <w:rPr>
                <w:rFonts w:cstheme="minorHAnsi"/>
                <w:bCs/>
                <w:szCs w:val="24"/>
              </w:rPr>
            </w:pPr>
            <w:r>
              <w:rPr>
                <w:rFonts w:cstheme="minorHAnsi"/>
                <w:bCs/>
                <w:szCs w:val="24"/>
              </w:rPr>
              <w:t xml:space="preserve">12. 23% of respondents report receiving care from a physical therapist, and 20% saw a general surgeon. </w:t>
            </w:r>
            <w:r>
              <w:rPr>
                <w:rFonts w:cstheme="minorHAnsi"/>
                <w:bCs/>
                <w:szCs w:val="24"/>
              </w:rPr>
            </w:r>
          </w:p>
        </w:tc>
      </w:tr>
      <w:tr>
        <w:trPr>
          <w:trHeight w:val="1610"/>
        </w:trPr>
        <w:tc>
          <w:tcPr>
            <w:gridSpan w:val="6"/>
            <w:shd w:val="clear" w:color="auto" w:fill="f5e7d8" w:themeFill="accent3" w:themeFillTint="33"/>
            <w:tcBorders/>
            <w:tcW w:w="14134" w:type="dxa"/>
            <w:vAlign w:val="center"/>
          </w:tcPr>
          <w:p w14:paraId="3570C636" w14:textId="77777777">
            <w:pPr>
              <w:pBdr/>
              <w:spacing w:line="276" w:lineRule="auto"/>
              <w:ind/>
              <w:rPr>
                <w:rFonts w:cstheme="minorHAnsi"/>
                <w:b/>
                <w:szCs w:val="24"/>
              </w:rPr>
            </w:pPr>
            <w:r>
              <w:rPr>
                <w:rFonts w:cstheme="minorHAnsi"/>
                <w:b/>
                <w:szCs w:val="24"/>
              </w:rPr>
              <w:t xml:space="preserve">Anticipated Impact(s) of these Activities:</w:t>
            </w:r>
            <w:r>
              <w:rPr>
                <w:rFonts w:cstheme="minorHAnsi"/>
                <w:b/>
                <w:szCs w:val="24"/>
              </w:rPr>
            </w:r>
          </w:p>
          <w:p w14:paraId="4270CDC6" w14:textId="38CCAB66">
            <w:pPr>
              <w:pStyle w:val="1145"/>
              <w:numPr>
                <w:ilvl w:val="0"/>
                <w:numId w:val="2"/>
              </w:numPr>
              <w:pBdr/>
              <w:spacing w:line="276" w:lineRule="auto"/>
              <w:ind/>
              <w:rPr>
                <w:rFonts w:cstheme="minorHAnsi"/>
                <w:szCs w:val="24"/>
              </w:rPr>
            </w:pPr>
            <w:r>
              <w:t xml:space="preserve">I</w:t>
            </w:r>
            <w:r>
              <w:t xml:space="preserve">ncreased care capabilities locally</w:t>
            </w:r>
            <w:r>
              <w:rPr>
                <w:rFonts w:cstheme="minorHAnsi"/>
                <w:szCs w:val="24"/>
              </w:rPr>
            </w:r>
          </w:p>
          <w:p w14:paraId="6A16F7D8" w14:textId="704AF40B">
            <w:pPr>
              <w:pStyle w:val="1145"/>
              <w:numPr>
                <w:ilvl w:val="0"/>
                <w:numId w:val="2"/>
              </w:numPr>
              <w:pBdr/>
              <w:spacing w:line="276" w:lineRule="auto"/>
              <w:ind/>
              <w:rPr>
                <w:rFonts w:cstheme="minorHAnsi"/>
                <w:szCs w:val="24"/>
              </w:rPr>
            </w:pPr>
            <w:r>
              <w:t xml:space="preserve">Improved access to care</w:t>
            </w:r>
            <w:r>
              <w:rPr>
                <w:rFonts w:cstheme="minorHAnsi"/>
                <w:szCs w:val="24"/>
              </w:rPr>
            </w:r>
          </w:p>
          <w:p w14:paraId="0539A9E8" w14:textId="77777777">
            <w:pPr>
              <w:pStyle w:val="1145"/>
              <w:numPr>
                <w:ilvl w:val="0"/>
                <w:numId w:val="2"/>
              </w:numPr>
              <w:pBdr/>
              <w:spacing w:line="276" w:lineRule="auto"/>
              <w:ind/>
              <w:rPr>
                <w:rFonts w:cstheme="minorHAnsi"/>
                <w:szCs w:val="24"/>
              </w:rPr>
            </w:pPr>
            <w:r>
              <w:rPr>
                <w:rFonts w:cstheme="minorHAnsi"/>
                <w:szCs w:val="24"/>
              </w:rPr>
              <w:t xml:space="preserve">Eased travel burden</w:t>
            </w:r>
            <w:r>
              <w:rPr>
                <w:rFonts w:cstheme="minorHAnsi"/>
                <w:szCs w:val="24"/>
              </w:rPr>
            </w:r>
          </w:p>
          <w:p w14:paraId="3E5C166C" w14:textId="352EC653">
            <w:pPr>
              <w:pStyle w:val="1145"/>
              <w:numPr>
                <w:ilvl w:val="0"/>
                <w:numId w:val="2"/>
              </w:numPr>
              <w:pBdr/>
              <w:spacing w:line="276" w:lineRule="auto"/>
              <w:ind/>
              <w:rPr>
                <w:rFonts w:cstheme="minorHAnsi"/>
                <w:szCs w:val="24"/>
              </w:rPr>
            </w:pPr>
            <w:r>
              <w:rPr>
                <w:rFonts w:cstheme="minorHAnsi"/>
                <w:szCs w:val="24"/>
              </w:rPr>
              <w:t xml:space="preserve">Improved health outcomes</w:t>
            </w:r>
            <w:r>
              <w:rPr>
                <w:rFonts w:cstheme="minorHAnsi"/>
                <w:szCs w:val="24"/>
              </w:rPr>
            </w:r>
          </w:p>
        </w:tc>
      </w:tr>
      <w:tr>
        <w:trPr>
          <w:trHeight w:val="1421"/>
        </w:trPr>
        <w:tc>
          <w:tcPr>
            <w:gridSpan w:val="6"/>
            <w:shd w:val="clear" w:color="auto" w:fill="f5e7d8" w:themeFill="accent3" w:themeFillTint="33"/>
            <w:tcBorders/>
            <w:tcW w:w="14134" w:type="dxa"/>
            <w:vAlign w:val="center"/>
          </w:tcPr>
          <w:p w14:paraId="21016FA1" w14:textId="77777777">
            <w:pPr>
              <w:pBdr/>
              <w:spacing w:line="276" w:lineRule="auto"/>
              <w:ind/>
              <w:rPr>
                <w:rFonts w:cstheme="minorHAnsi"/>
                <w:b/>
                <w:szCs w:val="24"/>
              </w:rPr>
            </w:pPr>
            <w:r>
              <w:rPr>
                <w:rFonts w:cstheme="minorHAnsi"/>
                <w:b/>
                <w:szCs w:val="24"/>
              </w:rPr>
              <w:t xml:space="preserve">Plan to Evaluate Anticipated Impact(s) of these Activities:</w:t>
            </w:r>
            <w:r>
              <w:rPr>
                <w:rFonts w:cstheme="minorHAnsi"/>
                <w:b/>
                <w:szCs w:val="24"/>
              </w:rPr>
            </w:r>
          </w:p>
          <w:p w14:paraId="4AB5E488" w14:textId="77777777">
            <w:pPr>
              <w:pStyle w:val="1145"/>
              <w:numPr>
                <w:ilvl w:val="0"/>
                <w:numId w:val="2"/>
              </w:numPr>
              <w:pBdr/>
              <w:spacing w:line="276" w:lineRule="auto"/>
              <w:ind/>
              <w:rPr/>
            </w:pPr>
            <w:r>
              <w:t xml:space="preserve">Track RHTP funding calls</w:t>
            </w:r>
            <w:r/>
          </w:p>
          <w:p w14:paraId="4F2428C3" w14:textId="197135F7">
            <w:pPr>
              <w:pStyle w:val="1145"/>
              <w:numPr>
                <w:ilvl w:val="0"/>
                <w:numId w:val="2"/>
              </w:numPr>
              <w:pBdr/>
              <w:spacing w:line="276" w:lineRule="auto"/>
              <w:ind/>
              <w:rPr/>
            </w:pPr>
            <w:r>
              <w:t xml:space="preserve">Document how specific RHTP funding opportunities could bolster care locally </w:t>
            </w:r>
            <w:r/>
          </w:p>
        </w:tc>
      </w:tr>
      <w:tr>
        <w:trPr>
          <w:trHeight w:val="512"/>
        </w:trPr>
        <w:tc>
          <w:tcPr>
            <w:gridSpan w:val="6"/>
            <w:shd w:val="clear" w:color="auto" w:fill="f5e7d8" w:themeFill="accent3" w:themeFillTint="33"/>
            <w:tcBorders/>
            <w:tcW w:w="14134" w:type="dxa"/>
            <w:vAlign w:val="center"/>
          </w:tcPr>
          <w:p w14:paraId="65DE6D2E" w14:textId="10D1FB1A">
            <w:pPr>
              <w:pBdr/>
              <w:spacing/>
              <w:ind/>
              <w:rPr/>
            </w:pPr>
            <w:r>
              <w:rPr>
                <w:b/>
                <w:bCs/>
              </w:rPr>
              <w:t xml:space="preserve">Measure of Success:</w:t>
            </w:r>
            <w:r>
              <w:t xml:space="preserve"> </w:t>
            </w:r>
            <w:r>
              <w:t xml:space="preserve">General surgeon brought on and PT services and network bolstered.</w:t>
            </w:r>
            <w:r/>
          </w:p>
        </w:tc>
      </w:tr>
    </w:tbl>
    <w:p w14:paraId="083DD6A6" w14:textId="77777777">
      <w:pPr>
        <w:pBdr/>
        <w:spacing/>
        <w:ind/>
        <w:rPr/>
      </w:pPr>
      <w:r/>
      <w:r/>
    </w:p>
    <w:p w14:paraId="78DF9720" w14:textId="77777777">
      <w:pPr>
        <w:pBdr/>
        <w:spacing/>
        <w:ind/>
        <w:rPr/>
      </w:pPr>
      <w:r/>
      <w:r/>
    </w:p>
    <w:p w14:paraId="7D509C46" w14:textId="77777777">
      <w:pPr>
        <w:pBdr/>
        <w:spacing/>
        <w:ind/>
        <w:rPr/>
      </w:pPr>
      <w:r/>
      <w:r/>
    </w:p>
    <w:tbl>
      <w:tblPr>
        <w:tblStyle w:val="1138"/>
        <w:tblInd w:w="-459" w:type="dxa"/>
        <w:tblW w:w="14175" w:type="dxa"/>
        <w:tblBorders>
          <w:top w:val="single" w:color="e64823" w:themeColor="accent5" w:sz="4" w:space="0"/>
          <w:left w:val="single" w:color="e64823" w:themeColor="accent5" w:sz="4" w:space="0"/>
          <w:bottom w:val="single" w:color="e64823" w:themeColor="accent5" w:sz="4" w:space="0"/>
          <w:right w:val="single" w:color="e64823" w:themeColor="accent5" w:sz="4" w:space="0"/>
          <w:insideH w:val="single" w:color="e64823" w:themeColor="accent5" w:sz="4" w:space="0"/>
          <w:insideV w:val="single" w:color="e64823" w:themeColor="accent5" w:sz="4" w:space="0"/>
        </w:tblBorders>
        <w:tblLayout w:type="fixed"/>
        <w:tblLook w:val="04A0" w:firstRow="1" w:lastRow="0" w:firstColumn="1" w:lastColumn="0" w:noHBand="0" w:noVBand="1"/>
      </w:tblPr>
      <w:tblGrid>
        <w:gridCol w:w="4707"/>
        <w:gridCol w:w="1710"/>
        <w:gridCol w:w="1350"/>
        <w:gridCol w:w="1890"/>
        <w:gridCol w:w="2070"/>
        <w:gridCol w:w="2448"/>
      </w:tblGrid>
      <w:tr>
        <w:trPr>
          <w:trHeight w:val="530"/>
        </w:trPr>
        <w:tc>
          <w:tcPr>
            <w:gridSpan w:val="6"/>
            <w:shd w:val="clear" w:color="auto" w:fill="f5b5a7" w:themeFill="accent5" w:themeFillTint="66"/>
            <w:tcBorders/>
            <w:tcW w:w="14175" w:type="dxa"/>
            <w:vAlign w:val="center"/>
          </w:tcPr>
          <w:p w14:paraId="45092593" w14:textId="189BF87B">
            <w:pPr>
              <w:pBdr/>
              <w:spacing/>
              <w:ind/>
              <w:rPr>
                <w:rFonts w:cstheme="minorHAnsi"/>
                <w:b/>
                <w:szCs w:val="24"/>
              </w:rPr>
            </w:pPr>
            <w:r>
              <w:rPr>
                <w:rFonts w:cstheme="minorHAnsi"/>
                <w:b/>
                <w:szCs w:val="24"/>
              </w:rPr>
              <w:t xml:space="preserve">Goal 2: </w:t>
            </w:r>
            <w:r>
              <w:rPr>
                <w:rFonts w:cstheme="minorHAnsi"/>
                <w:b/>
                <w:szCs w:val="24"/>
              </w:rPr>
              <w:t xml:space="preserve">Improve specialty care options in Roosevelt County. </w:t>
            </w:r>
            <w:r>
              <w:rPr>
                <w:rFonts w:cstheme="minorHAnsi"/>
                <w:b/>
                <w:szCs w:val="24"/>
              </w:rPr>
            </w:r>
          </w:p>
        </w:tc>
      </w:tr>
      <w:tr>
        <w:trPr>
          <w:trHeight w:val="530"/>
        </w:trPr>
        <w:tc>
          <w:tcPr>
            <w:gridSpan w:val="6"/>
            <w:shd w:val="clear" w:color="auto" w:fill="f5b5a7" w:themeFill="accent5" w:themeFillTint="66"/>
            <w:tcBorders/>
            <w:tcW w:w="14175" w:type="dxa"/>
            <w:vAlign w:val="center"/>
          </w:tcPr>
          <w:p w14:paraId="314E213A" w14:textId="6570B5F8">
            <w:pPr>
              <w:pBdr/>
              <w:spacing/>
              <w:ind/>
              <w:rPr>
                <w:rFonts w:cstheme="minorHAnsi"/>
                <w:szCs w:val="24"/>
              </w:rPr>
            </w:pPr>
            <w:r>
              <w:rPr>
                <w:rFonts w:cstheme="minorHAnsi"/>
                <w:b/>
                <w:szCs w:val="24"/>
              </w:rPr>
              <w:t xml:space="preserve">Strategy 2.1:</w:t>
            </w:r>
            <w:r>
              <w:rPr>
                <w:rFonts w:cstheme="minorHAnsi"/>
                <w:szCs w:val="24"/>
              </w:rPr>
              <w:t xml:space="preserve"> </w:t>
            </w:r>
            <w:r>
              <w:rPr>
                <w:rFonts w:cstheme="minorHAnsi"/>
                <w:bCs/>
                <w:szCs w:val="24"/>
              </w:rPr>
              <w:t xml:space="preserve">Continue to seek </w:t>
            </w:r>
            <w:r>
              <w:rPr>
                <w:rFonts w:cstheme="minorHAnsi"/>
                <w:bCs/>
                <w:szCs w:val="24"/>
              </w:rPr>
              <w:t xml:space="preserve">to provide specialty care services desired by the community. </w:t>
            </w:r>
            <w:r>
              <w:rPr>
                <w:rFonts w:cstheme="minorHAnsi"/>
                <w:szCs w:val="24"/>
              </w:rPr>
            </w:r>
          </w:p>
        </w:tc>
      </w:tr>
      <w:tr>
        <w:trPr>
          <w:trHeight w:val="432"/>
        </w:trPr>
        <w:tc>
          <w:tcPr>
            <w:shd w:val="clear" w:color="auto" w:fill="b23214" w:themeFill="accent5" w:themeFillShade="BF"/>
            <w:tcBorders/>
            <w:tcW w:w="4707" w:type="dxa"/>
            <w:vAlign w:val="center"/>
          </w:tcPr>
          <w:p w14:paraId="24FACC6F" w14:textId="77777777">
            <w:pPr>
              <w:pBdr/>
              <w:spacing/>
              <w:ind/>
              <w:jc w:val="center"/>
              <w:rPr>
                <w:rFonts w:cstheme="minorHAnsi"/>
                <w:b/>
                <w:color w:val="ffffff" w:themeColor="background1"/>
                <w:szCs w:val="24"/>
              </w:rPr>
            </w:pPr>
            <w:r>
              <w:rPr>
                <w:rFonts w:cstheme="minorHAnsi"/>
                <w:b/>
                <w:color w:val="ffffff" w:themeColor="background1"/>
                <w:szCs w:val="24"/>
              </w:rPr>
              <w:t xml:space="preserve">Activities</w:t>
            </w:r>
            <w:r>
              <w:rPr>
                <w:rFonts w:cstheme="minorHAnsi"/>
                <w:b/>
                <w:color w:val="ffffff" w:themeColor="background1"/>
                <w:szCs w:val="24"/>
              </w:rPr>
            </w:r>
          </w:p>
        </w:tc>
        <w:tc>
          <w:tcPr>
            <w:shd w:val="clear" w:color="auto" w:fill="b23214" w:themeFill="accent5" w:themeFillShade="BF"/>
            <w:tcBorders/>
            <w:tcW w:w="1710" w:type="dxa"/>
            <w:vAlign w:val="center"/>
          </w:tcPr>
          <w:p w14:paraId="44819132" w14:textId="77777777">
            <w:pPr>
              <w:pBdr/>
              <w:spacing/>
              <w:ind/>
              <w:jc w:val="center"/>
              <w:rPr>
                <w:rFonts w:cstheme="minorHAnsi"/>
                <w:b/>
                <w:color w:val="ffffff" w:themeColor="background1"/>
                <w:szCs w:val="24"/>
              </w:rPr>
            </w:pPr>
            <w:r>
              <w:rPr>
                <w:rFonts w:cstheme="minorHAnsi"/>
                <w:b/>
                <w:color w:val="ffffff" w:themeColor="background1"/>
                <w:szCs w:val="24"/>
              </w:rPr>
              <w:t xml:space="preserve">Responsibility</w:t>
            </w:r>
            <w:r>
              <w:rPr>
                <w:rFonts w:cstheme="minorHAnsi"/>
                <w:b/>
                <w:color w:val="ffffff" w:themeColor="background1"/>
                <w:szCs w:val="24"/>
              </w:rPr>
            </w:r>
          </w:p>
        </w:tc>
        <w:tc>
          <w:tcPr>
            <w:shd w:val="clear" w:color="auto" w:fill="b23214" w:themeFill="accent5" w:themeFillShade="BF"/>
            <w:tcBorders/>
            <w:tcW w:w="1350" w:type="dxa"/>
            <w:vAlign w:val="center"/>
          </w:tcPr>
          <w:p w14:paraId="39AC00F5" w14:textId="77777777">
            <w:pPr>
              <w:pBdr/>
              <w:spacing/>
              <w:ind/>
              <w:jc w:val="center"/>
              <w:rPr>
                <w:rFonts w:cstheme="minorHAnsi"/>
                <w:b/>
                <w:color w:val="ffffff" w:themeColor="background1"/>
                <w:szCs w:val="24"/>
              </w:rPr>
            </w:pPr>
            <w:r>
              <w:rPr>
                <w:rFonts w:cstheme="minorHAnsi"/>
                <w:b/>
                <w:color w:val="ffffff" w:themeColor="background1"/>
                <w:szCs w:val="24"/>
              </w:rPr>
              <w:t xml:space="preserve">Timeline</w:t>
            </w:r>
            <w:r>
              <w:rPr>
                <w:rFonts w:cstheme="minorHAnsi"/>
                <w:b/>
                <w:color w:val="ffffff" w:themeColor="background1"/>
                <w:szCs w:val="24"/>
              </w:rPr>
            </w:r>
          </w:p>
        </w:tc>
        <w:tc>
          <w:tcPr>
            <w:shd w:val="clear" w:color="auto" w:fill="b23214" w:themeFill="accent5" w:themeFillShade="BF"/>
            <w:tcBorders/>
            <w:tcW w:w="1890" w:type="dxa"/>
            <w:vAlign w:val="center"/>
          </w:tcPr>
          <w:p w14:paraId="16AD9006" w14:textId="77777777">
            <w:pPr>
              <w:pBdr/>
              <w:spacing/>
              <w:ind/>
              <w:jc w:val="center"/>
              <w:rPr>
                <w:rFonts w:cstheme="minorHAnsi"/>
                <w:b/>
                <w:color w:val="ffffff" w:themeColor="background1"/>
                <w:szCs w:val="24"/>
              </w:rPr>
            </w:pPr>
            <w:r>
              <w:rPr>
                <w:rFonts w:cstheme="minorHAnsi"/>
                <w:b/>
                <w:color w:val="ffffff" w:themeColor="background1"/>
                <w:szCs w:val="24"/>
              </w:rPr>
              <w:t xml:space="preserve">Final Approval</w:t>
            </w:r>
            <w:r>
              <w:rPr>
                <w:rFonts w:cstheme="minorHAnsi"/>
                <w:b/>
                <w:color w:val="ffffff" w:themeColor="background1"/>
                <w:szCs w:val="24"/>
              </w:rPr>
            </w:r>
          </w:p>
        </w:tc>
        <w:tc>
          <w:tcPr>
            <w:shd w:val="clear" w:color="auto" w:fill="b23214" w:themeFill="accent5" w:themeFillShade="BF"/>
            <w:tcBorders/>
            <w:tcW w:w="2070" w:type="dxa"/>
            <w:vAlign w:val="center"/>
          </w:tcPr>
          <w:p w14:paraId="1B7AE191" w14:textId="77777777">
            <w:pPr>
              <w:pBdr/>
              <w:spacing/>
              <w:ind/>
              <w:jc w:val="center"/>
              <w:rPr>
                <w:rFonts w:cstheme="minorHAnsi"/>
                <w:b/>
                <w:color w:val="ffffff" w:themeColor="background1"/>
                <w:szCs w:val="24"/>
              </w:rPr>
            </w:pPr>
            <w:r>
              <w:rPr>
                <w:rFonts w:cstheme="minorHAnsi"/>
                <w:b/>
                <w:color w:val="ffffff" w:themeColor="background1"/>
                <w:szCs w:val="24"/>
              </w:rPr>
              <w:t xml:space="preserve">Partners</w:t>
            </w:r>
            <w:r>
              <w:rPr>
                <w:rFonts w:cstheme="minorHAnsi"/>
                <w:b/>
                <w:color w:val="ffffff" w:themeColor="background1"/>
                <w:szCs w:val="24"/>
              </w:rPr>
            </w:r>
          </w:p>
        </w:tc>
        <w:tc>
          <w:tcPr>
            <w:shd w:val="clear" w:color="auto" w:fill="b23214" w:themeFill="accent5" w:themeFillShade="BF"/>
            <w:tcBorders/>
            <w:tcW w:w="2448" w:type="dxa"/>
            <w:vAlign w:val="center"/>
          </w:tcPr>
          <w:p w14:paraId="542C31AB" w14:textId="77777777">
            <w:pPr>
              <w:pBdr/>
              <w:spacing/>
              <w:ind/>
              <w:jc w:val="center"/>
              <w:rPr>
                <w:rFonts w:cstheme="minorHAnsi"/>
                <w:b/>
                <w:color w:val="ffffff" w:themeColor="background1"/>
                <w:szCs w:val="24"/>
              </w:rPr>
            </w:pPr>
            <w:r>
              <w:rPr>
                <w:rFonts w:cstheme="minorHAnsi"/>
                <w:b/>
                <w:color w:val="ffffff" w:themeColor="background1"/>
                <w:szCs w:val="24"/>
              </w:rPr>
              <w:t xml:space="preserve">Potential Barriers </w:t>
            </w:r>
            <w:r>
              <w:rPr>
                <w:rFonts w:cstheme="minorHAnsi"/>
                <w:b/>
                <w:color w:val="ffffff" w:themeColor="background1"/>
                <w:szCs w:val="24"/>
              </w:rPr>
            </w:r>
          </w:p>
        </w:tc>
      </w:tr>
      <w:tr>
        <w:trPr>
          <w:trHeight w:val="1296"/>
        </w:trPr>
        <w:tc>
          <w:tcPr>
            <w:shd w:val="clear" w:color="auto" w:fill="fadad3" w:themeFill="accent5" w:themeFillTint="33"/>
            <w:tcBorders/>
            <w:tcW w:w="4707" w:type="dxa"/>
            <w:vAlign w:val="center"/>
          </w:tcPr>
          <w:p w14:paraId="776535FB" w14:textId="331A64BE">
            <w:pPr>
              <w:pBdr/>
              <w:spacing w:after="40" w:before="40"/>
              <w:ind/>
              <w:rPr>
                <w:rFonts w:cstheme="minorHAnsi"/>
                <w:szCs w:val="24"/>
              </w:rPr>
            </w:pPr>
            <w:r>
              <w:rPr>
                <w:rFonts w:cstheme="minorHAnsi"/>
                <w:szCs w:val="24"/>
              </w:rPr>
              <w:t xml:space="preserve">Examine how to ease and facilitate the process for patients to receive care from specialty providers, particularly through promotion of visitin</w:t>
            </w:r>
            <w:r>
              <w:rPr>
                <w:rFonts w:cstheme="minorHAnsi"/>
              </w:rPr>
              <w:t xml:space="preserve">g</w:t>
            </w:r>
            <w:r>
              <w:rPr>
                <w:rFonts w:cstheme="minorHAnsi"/>
                <w:szCs w:val="24"/>
              </w:rPr>
              <w:t xml:space="preserve"> specialist schedules among providers and the public.</w:t>
            </w:r>
            <w:r>
              <w:rPr>
                <w:rFonts w:cstheme="minorHAnsi"/>
                <w:szCs w:val="24"/>
              </w:rPr>
            </w:r>
          </w:p>
        </w:tc>
        <w:tc>
          <w:tcPr>
            <w:shd w:val="clear" w:color="auto" w:fill="fadad3" w:themeFill="accent5" w:themeFillTint="33"/>
            <w:tcBorders/>
            <w:tcW w:w="1710" w:type="dxa"/>
            <w:vAlign w:val="center"/>
          </w:tcPr>
          <w:p w14:paraId="00D4CD02" w14:textId="33892739">
            <w:pPr>
              <w:pBdr/>
              <w:spacing w:after="40" w:before="40"/>
              <w:ind/>
              <w:jc w:val="center"/>
              <w:rPr>
                <w:rFonts w:cstheme="minorHAnsi"/>
                <w:szCs w:val="24"/>
              </w:rPr>
            </w:pPr>
            <w:r>
              <w:rPr>
                <w:rFonts w:cstheme="minorHAnsi"/>
                <w:szCs w:val="24"/>
              </w:rPr>
              <w:t xml:space="preserve">Roger Fisher &amp; Elaine Long </w:t>
            </w:r>
            <w:r>
              <w:rPr>
                <w:rFonts w:cstheme="minorHAnsi"/>
                <w:szCs w:val="24"/>
              </w:rPr>
            </w:r>
          </w:p>
        </w:tc>
        <w:tc>
          <w:tcPr>
            <w:shd w:val="clear" w:color="auto" w:fill="fadad3" w:themeFill="accent5" w:themeFillTint="33"/>
            <w:tcBorders/>
            <w:tcW w:w="1350" w:type="dxa"/>
            <w:vAlign w:val="center"/>
          </w:tcPr>
          <w:p w14:paraId="7EC96BB6" w14:textId="7CF7AEE0">
            <w:pPr>
              <w:pBdr/>
              <w:spacing w:after="40" w:before="40"/>
              <w:ind/>
              <w:jc w:val="center"/>
              <w:rPr/>
            </w:pPr>
            <w:r>
              <w:rPr>
                <w:rFonts w:cstheme="minorHAnsi"/>
                <w:szCs w:val="24"/>
              </w:rPr>
              <w:t xml:space="preserve">On</w:t>
            </w:r>
            <w:r>
              <w:rPr>
                <w:rFonts w:cstheme="minorHAnsi"/>
                <w:szCs w:val="24"/>
              </w:rPr>
              <w:t xml:space="preserve">-</w:t>
            </w:r>
            <w:r>
              <w:rPr>
                <w:rFonts w:cstheme="minorHAnsi"/>
                <w:szCs w:val="24"/>
              </w:rPr>
              <w:t xml:space="preserve">going</w:t>
            </w:r>
            <w:r/>
          </w:p>
        </w:tc>
        <w:tc>
          <w:tcPr>
            <w:shd w:val="clear" w:color="auto" w:fill="fadad3" w:themeFill="accent5" w:themeFillTint="33"/>
            <w:tcBorders/>
            <w:tcW w:w="1890" w:type="dxa"/>
            <w:vAlign w:val="center"/>
          </w:tcPr>
          <w:p w14:paraId="103628D8" w14:textId="32D8D7E1">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adad3" w:themeFill="accent5" w:themeFillTint="33"/>
            <w:tcBorders/>
            <w:tcW w:w="2070" w:type="dxa"/>
            <w:vAlign w:val="center"/>
          </w:tcPr>
          <w:p w14:paraId="08C9B1ED" w14:textId="4CBB478A">
            <w:pPr>
              <w:pBdr/>
              <w:spacing w:after="40" w:before="40"/>
              <w:ind/>
              <w:jc w:val="center"/>
              <w:rPr>
                <w:rFonts w:cstheme="minorHAnsi"/>
                <w:szCs w:val="24"/>
              </w:rPr>
            </w:pPr>
            <w:r>
              <w:rPr>
                <w:rFonts w:cstheme="minorHAnsi"/>
                <w:szCs w:val="24"/>
              </w:rPr>
              <w:t xml:space="preserve">State of Montana and local Heath Care providers</w:t>
            </w:r>
            <w:r>
              <w:rPr>
                <w:rFonts w:cstheme="minorHAnsi"/>
                <w:szCs w:val="24"/>
              </w:rPr>
            </w:r>
          </w:p>
        </w:tc>
        <w:tc>
          <w:tcPr>
            <w:shd w:val="clear" w:color="auto" w:fill="fadad3" w:themeFill="accent5" w:themeFillTint="33"/>
            <w:tcBorders/>
            <w:tcW w:w="2448" w:type="dxa"/>
            <w:vAlign w:val="center"/>
          </w:tcPr>
          <w:p w14:paraId="3CBB8134" w14:textId="252A21EB">
            <w:pPr>
              <w:pBdr/>
              <w:spacing w:after="40" w:before="40"/>
              <w:ind/>
              <w:jc w:val="center"/>
              <w:rPr/>
            </w:pPr>
            <w:r>
              <w:rPr>
                <w:rFonts w:cstheme="minorHAnsi"/>
                <w:szCs w:val="24"/>
              </w:rPr>
              <w:t xml:space="preserve">Specialists willing to work in rural setting</w:t>
            </w:r>
            <w:r>
              <w:rPr>
                <w:rFonts w:cstheme="minorHAnsi"/>
                <w:szCs w:val="24"/>
              </w:rPr>
              <w:t xml:space="preserve"> </w:t>
            </w:r>
            <w:r>
              <w:rPr>
                <w:rFonts w:cstheme="minorHAnsi"/>
                <w:szCs w:val="24"/>
              </w:rPr>
              <w:t xml:space="preserve">and financial constraints</w:t>
            </w:r>
            <w:r/>
          </w:p>
        </w:tc>
      </w:tr>
      <w:tr>
        <w:trPr>
          <w:trHeight w:val="1296"/>
        </w:trPr>
        <w:tc>
          <w:tcPr>
            <w:shd w:val="clear" w:color="auto" w:fill="fadad3" w:themeFill="accent5" w:themeFillTint="33"/>
            <w:tcBorders/>
            <w:tcW w:w="4707" w:type="dxa"/>
            <w:vAlign w:val="center"/>
          </w:tcPr>
          <w:p w14:paraId="5C3C8E36" w14:textId="55BED615">
            <w:pPr>
              <w:pBdr/>
              <w:spacing w:after="40" w:before="40"/>
              <w:ind/>
              <w:rPr/>
            </w:pPr>
            <w:r>
              <w:rPr>
                <w:rFonts w:cstheme="minorHAnsi"/>
                <w:szCs w:val="24"/>
              </w:rPr>
              <w:t xml:space="preserve">Continue to consider feasibility of bringing on general surgery at NEMHS and the possibility of utilizing RHTP funding to support this effort.</w:t>
            </w:r>
            <w:r/>
          </w:p>
        </w:tc>
        <w:tc>
          <w:tcPr>
            <w:shd w:val="clear" w:color="auto" w:fill="fadad3" w:themeFill="accent5" w:themeFillTint="33"/>
            <w:tcBorders/>
            <w:tcW w:w="1710" w:type="dxa"/>
            <w:vAlign w:val="center"/>
          </w:tcPr>
          <w:p w14:paraId="1A28915A" w14:textId="0B3E8F24">
            <w:pPr>
              <w:pBdr/>
              <w:spacing w:after="40" w:before="40"/>
              <w:ind/>
              <w:jc w:val="center"/>
              <w:rPr>
                <w:rFonts w:cstheme="minorHAnsi"/>
                <w:szCs w:val="24"/>
              </w:rPr>
            </w:pPr>
            <w:r>
              <w:rPr>
                <w:rFonts w:cstheme="minorHAnsi"/>
                <w:szCs w:val="24"/>
              </w:rPr>
              <w:t xml:space="preserve">Roger Fisher, Scott Olander and Tiffany Smith</w:t>
            </w:r>
            <w:r>
              <w:rPr>
                <w:rFonts w:cstheme="minorHAnsi"/>
                <w:szCs w:val="24"/>
              </w:rPr>
            </w:r>
          </w:p>
        </w:tc>
        <w:tc>
          <w:tcPr>
            <w:shd w:val="clear" w:color="auto" w:fill="fadad3" w:themeFill="accent5" w:themeFillTint="33"/>
            <w:tcBorders/>
            <w:tcW w:w="1350" w:type="dxa"/>
            <w:vAlign w:val="center"/>
          </w:tcPr>
          <w:p w14:paraId="215CE27E" w14:textId="44FCCDA6">
            <w:pPr>
              <w:pBdr/>
              <w:spacing w:after="40" w:before="40"/>
              <w:ind/>
              <w:jc w:val="center"/>
              <w:rPr/>
            </w:pPr>
            <w:r>
              <w:rPr>
                <w:rFonts w:cstheme="minorHAnsi"/>
                <w:szCs w:val="24"/>
              </w:rPr>
              <w:t xml:space="preserve">On</w:t>
            </w:r>
            <w:r>
              <w:rPr>
                <w:rFonts w:cstheme="minorHAnsi"/>
                <w:szCs w:val="24"/>
              </w:rPr>
              <w:t xml:space="preserve">-</w:t>
            </w:r>
            <w:r>
              <w:rPr>
                <w:rFonts w:cstheme="minorHAnsi"/>
                <w:szCs w:val="24"/>
              </w:rPr>
              <w:t xml:space="preserve">going</w:t>
            </w:r>
            <w:r/>
          </w:p>
        </w:tc>
        <w:tc>
          <w:tcPr>
            <w:shd w:val="clear" w:color="auto" w:fill="fadad3" w:themeFill="accent5" w:themeFillTint="33"/>
            <w:tcBorders/>
            <w:tcW w:w="1890" w:type="dxa"/>
            <w:vAlign w:val="center"/>
          </w:tcPr>
          <w:p w14:paraId="0369C97A" w14:textId="441E9697">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adad3" w:themeFill="accent5" w:themeFillTint="33"/>
            <w:tcBorders/>
            <w:tcW w:w="2070" w:type="dxa"/>
            <w:vAlign w:val="center"/>
          </w:tcPr>
          <w:p w14:paraId="0C630EA9" w14:textId="3605550B">
            <w:pPr>
              <w:pBdr/>
              <w:spacing w:after="40" w:before="40"/>
              <w:ind/>
              <w:jc w:val="center"/>
              <w:rPr/>
            </w:pPr>
            <w:r>
              <w:rPr>
                <w:rFonts w:cstheme="minorHAnsi"/>
                <w:szCs w:val="24"/>
              </w:rPr>
              <w:t xml:space="preserve">State of Montana and local Heath Care providers</w:t>
            </w:r>
            <w:r/>
          </w:p>
        </w:tc>
        <w:tc>
          <w:tcPr>
            <w:shd w:val="clear" w:color="auto" w:fill="fadad3" w:themeFill="accent5" w:themeFillTint="33"/>
            <w:tcBorders/>
            <w:tcW w:w="2448" w:type="dxa"/>
            <w:vAlign w:val="center"/>
          </w:tcPr>
          <w:p w14:paraId="4F362BDB" w14:textId="5ABD491A">
            <w:pPr>
              <w:pBdr/>
              <w:spacing w:after="40" w:before="40"/>
              <w:ind/>
              <w:jc w:val="center"/>
              <w:rPr>
                <w:rFonts w:cstheme="minorHAnsi"/>
                <w:szCs w:val="24"/>
              </w:rPr>
            </w:pPr>
            <w:r>
              <w:rPr>
                <w:rFonts w:cstheme="minorHAnsi"/>
                <w:szCs w:val="24"/>
              </w:rPr>
              <w:t xml:space="preserve">RHTP goals and expectations</w:t>
            </w:r>
            <w:r>
              <w:rPr>
                <w:rFonts w:cstheme="minorHAnsi"/>
                <w:szCs w:val="24"/>
              </w:rPr>
            </w:r>
          </w:p>
        </w:tc>
      </w:tr>
      <w:tr>
        <w:trPr>
          <w:trHeight w:val="980"/>
        </w:trPr>
        <w:tc>
          <w:tcPr>
            <w:shd w:val="clear" w:color="auto" w:fill="fadad3" w:themeFill="accent5" w:themeFillTint="33"/>
            <w:tcBorders/>
            <w:tcW w:w="4707" w:type="dxa"/>
            <w:vAlign w:val="center"/>
          </w:tcPr>
          <w:p w14:paraId="0705951A" w14:textId="41D7C3B0">
            <w:pPr>
              <w:pBdr/>
              <w:spacing w:after="40" w:before="40"/>
              <w:ind/>
              <w:rPr>
                <w:rFonts w:cstheme="minorHAnsi"/>
                <w:szCs w:val="24"/>
              </w:rPr>
            </w:pPr>
            <w:r>
              <w:rPr>
                <w:rFonts w:cstheme="minorHAnsi"/>
                <w:szCs w:val="24"/>
              </w:rPr>
              <w:t xml:space="preserve">Work with Tribe to begin offering pediatric dental surgery at NEMHS.</w:t>
            </w:r>
            <w:r>
              <w:rPr>
                <w:rFonts w:cstheme="minorHAnsi"/>
                <w:szCs w:val="24"/>
              </w:rPr>
            </w:r>
          </w:p>
        </w:tc>
        <w:tc>
          <w:tcPr>
            <w:shd w:val="clear" w:color="auto" w:fill="fadad3" w:themeFill="accent5" w:themeFillTint="33"/>
            <w:tcBorders/>
            <w:tcW w:w="1710" w:type="dxa"/>
            <w:vAlign w:val="center"/>
          </w:tcPr>
          <w:p w14:paraId="7C35AC95" w14:textId="671B1436">
            <w:pPr>
              <w:pBdr/>
              <w:spacing w:after="40" w:before="40"/>
              <w:ind/>
              <w:jc w:val="center"/>
              <w:rPr>
                <w:rFonts w:cstheme="minorHAnsi"/>
                <w:szCs w:val="24"/>
              </w:rPr>
            </w:pPr>
            <w:r>
              <w:rPr>
                <w:rFonts w:cstheme="minorHAnsi"/>
                <w:szCs w:val="24"/>
              </w:rPr>
              <w:t xml:space="preserve">Elaine Lo</w:t>
            </w:r>
            <w:r>
              <w:rPr>
                <w:rFonts w:cstheme="minorHAnsi"/>
                <w:szCs w:val="24"/>
              </w:rPr>
              <w:t xml:space="preserve">ng and </w:t>
            </w:r>
            <w:r>
              <w:rPr>
                <w:rFonts w:cstheme="minorHAnsi"/>
                <w:szCs w:val="24"/>
              </w:rPr>
              <w:t xml:space="preserve">Tacy</w:t>
            </w:r>
            <w:r>
              <w:rPr>
                <w:rFonts w:cstheme="minorHAnsi"/>
                <w:szCs w:val="24"/>
              </w:rPr>
              <w:t xml:space="preserve"> Strand</w:t>
            </w:r>
            <w:r>
              <w:rPr>
                <w:rFonts w:cstheme="minorHAnsi"/>
                <w:szCs w:val="24"/>
              </w:rPr>
            </w:r>
          </w:p>
        </w:tc>
        <w:tc>
          <w:tcPr>
            <w:shd w:val="clear" w:color="auto" w:fill="fadad3" w:themeFill="accent5" w:themeFillTint="33"/>
            <w:tcBorders/>
            <w:tcW w:w="1350" w:type="dxa"/>
            <w:vAlign w:val="center"/>
          </w:tcPr>
          <w:p w14:paraId="322ABB6D" w14:textId="79774ED9">
            <w:pPr>
              <w:pBdr/>
              <w:spacing w:after="40" w:before="40"/>
              <w:ind/>
              <w:jc w:val="center"/>
              <w:rPr>
                <w:rFonts w:cstheme="minorHAnsi"/>
                <w:szCs w:val="24"/>
              </w:rPr>
            </w:pPr>
            <w:r>
              <w:rPr>
                <w:rFonts w:cstheme="minorHAnsi"/>
                <w:szCs w:val="24"/>
              </w:rPr>
              <w:t xml:space="preserve">6/01/2026</w:t>
            </w:r>
            <w:r>
              <w:rPr>
                <w:rFonts w:cstheme="minorHAnsi"/>
                <w:szCs w:val="24"/>
              </w:rPr>
            </w:r>
          </w:p>
        </w:tc>
        <w:tc>
          <w:tcPr>
            <w:shd w:val="clear" w:color="auto" w:fill="fadad3" w:themeFill="accent5" w:themeFillTint="33"/>
            <w:tcBorders/>
            <w:tcW w:w="1890" w:type="dxa"/>
            <w:vAlign w:val="center"/>
          </w:tcPr>
          <w:p w14:paraId="2C6522A2" w14:textId="32A3C707">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adad3" w:themeFill="accent5" w:themeFillTint="33"/>
            <w:tcBorders/>
            <w:tcW w:w="2070" w:type="dxa"/>
            <w:vAlign w:val="center"/>
          </w:tcPr>
          <w:p w14:paraId="3EEE791E" w14:textId="62326473">
            <w:pPr>
              <w:pBdr/>
              <w:spacing w:after="40" w:before="40"/>
              <w:ind/>
              <w:jc w:val="center"/>
              <w:rPr/>
            </w:pPr>
            <w:r>
              <w:rPr>
                <w:rFonts w:cstheme="minorHAnsi"/>
                <w:szCs w:val="24"/>
              </w:rPr>
              <w:t xml:space="preserve">Tribal Health</w:t>
            </w:r>
            <w:r>
              <w:rPr>
                <w:rFonts w:cstheme="minorHAnsi"/>
                <w:szCs w:val="24"/>
              </w:rPr>
              <w:t xml:space="preserve"> and Indian Health Services</w:t>
            </w:r>
            <w:r/>
          </w:p>
        </w:tc>
        <w:tc>
          <w:tcPr>
            <w:shd w:val="clear" w:color="auto" w:fill="fadad3" w:themeFill="accent5" w:themeFillTint="33"/>
            <w:tcBorders/>
            <w:tcW w:w="2448" w:type="dxa"/>
            <w:vAlign w:val="center"/>
          </w:tcPr>
          <w:p w14:paraId="5DA94CB0" w14:textId="70A0E329">
            <w:pPr>
              <w:pBdr/>
              <w:spacing w:after="40" w:before="40"/>
              <w:ind/>
              <w:jc w:val="center"/>
              <w:rPr>
                <w:rFonts w:cstheme="minorHAnsi"/>
                <w:szCs w:val="24"/>
              </w:rPr>
            </w:pPr>
            <w:r>
              <w:rPr>
                <w:rFonts w:cstheme="minorHAnsi"/>
                <w:szCs w:val="24"/>
              </w:rPr>
              <w:t xml:space="preserve">Ped</w:t>
            </w:r>
            <w:r>
              <w:rPr>
                <w:rFonts w:cstheme="minorHAnsi"/>
                <w:szCs w:val="24"/>
              </w:rPr>
              <w:t xml:space="preserve">iatric Dentist availability</w:t>
            </w:r>
            <w:r>
              <w:rPr>
                <w:rFonts w:cstheme="minorHAnsi"/>
                <w:szCs w:val="24"/>
              </w:rPr>
            </w:r>
          </w:p>
        </w:tc>
      </w:tr>
      <w:tr>
        <w:trPr>
          <w:trHeight w:val="1511"/>
        </w:trPr>
        <w:tc>
          <w:tcPr>
            <w:shd w:val="clear" w:color="auto" w:fill="fadad3" w:themeFill="accent5" w:themeFillTint="33"/>
            <w:tcBorders/>
            <w:tcW w:w="4707" w:type="dxa"/>
            <w:vAlign w:val="center"/>
          </w:tcPr>
          <w:p w14:paraId="075054CE" w14:textId="60F0EED6">
            <w:pPr>
              <w:pBdr/>
              <w:spacing w:after="40" w:before="40"/>
              <w:ind/>
              <w:rPr>
                <w:rFonts w:cstheme="minorHAnsi"/>
                <w:szCs w:val="24"/>
              </w:rPr>
            </w:pPr>
            <w:r>
              <w:rPr>
                <w:rFonts w:cstheme="minorHAnsi"/>
                <w:szCs w:val="24"/>
              </w:rPr>
              <w:t xml:space="preserve">Continue advertising preventive services such as colonoscopies; examine if more procedures can be offered with both current providers and the potential addition of a general surgeon.</w:t>
            </w:r>
            <w:r>
              <w:rPr>
                <w:rFonts w:cstheme="minorHAnsi"/>
                <w:szCs w:val="24"/>
              </w:rPr>
            </w:r>
          </w:p>
        </w:tc>
        <w:tc>
          <w:tcPr>
            <w:shd w:val="clear" w:color="auto" w:fill="fadad3" w:themeFill="accent5" w:themeFillTint="33"/>
            <w:tcBorders/>
            <w:tcW w:w="1710" w:type="dxa"/>
            <w:vAlign w:val="center"/>
          </w:tcPr>
          <w:p w14:paraId="2FD20574" w14:textId="45EB8213">
            <w:pPr>
              <w:pBdr/>
              <w:spacing w:after="40" w:before="40"/>
              <w:ind/>
              <w:jc w:val="center"/>
              <w:rPr>
                <w:rFonts w:cstheme="minorHAnsi"/>
                <w:szCs w:val="24"/>
              </w:rPr>
            </w:pPr>
            <w:r>
              <w:rPr>
                <w:rFonts w:cstheme="minorHAnsi"/>
                <w:szCs w:val="24"/>
              </w:rPr>
              <w:t xml:space="preserve">Kelli Hackley</w:t>
            </w:r>
            <w:r>
              <w:rPr>
                <w:rFonts w:cstheme="minorHAnsi"/>
                <w:szCs w:val="24"/>
              </w:rPr>
            </w:r>
          </w:p>
        </w:tc>
        <w:tc>
          <w:tcPr>
            <w:shd w:val="clear" w:color="auto" w:fill="fadad3" w:themeFill="accent5" w:themeFillTint="33"/>
            <w:tcBorders/>
            <w:tcW w:w="1350" w:type="dxa"/>
            <w:vAlign w:val="center"/>
          </w:tcPr>
          <w:p w14:paraId="272809D6" w14:textId="1751D718">
            <w:pPr>
              <w:pBdr/>
              <w:spacing w:after="40" w:before="40"/>
              <w:ind/>
              <w:jc w:val="center"/>
              <w:rPr>
                <w:rFonts w:cstheme="minorHAnsi"/>
                <w:szCs w:val="24"/>
              </w:rPr>
            </w:pPr>
            <w:r>
              <w:rPr>
                <w:rFonts w:cstheme="minorHAnsi"/>
                <w:szCs w:val="24"/>
              </w:rPr>
              <w:t xml:space="preserve">6/01/2026</w:t>
            </w:r>
            <w:r>
              <w:rPr>
                <w:rFonts w:cstheme="minorHAnsi"/>
                <w:szCs w:val="24"/>
              </w:rPr>
            </w:r>
          </w:p>
        </w:tc>
        <w:tc>
          <w:tcPr>
            <w:shd w:val="clear" w:color="auto" w:fill="fadad3" w:themeFill="accent5" w:themeFillTint="33"/>
            <w:tcBorders/>
            <w:tcW w:w="1890" w:type="dxa"/>
            <w:vAlign w:val="center"/>
          </w:tcPr>
          <w:p w14:paraId="460E1049" w14:textId="03B707A0">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adad3" w:themeFill="accent5" w:themeFillTint="33"/>
            <w:tcBorders/>
            <w:tcW w:w="2070" w:type="dxa"/>
            <w:vAlign w:val="center"/>
          </w:tcPr>
          <w:p w14:paraId="2493AD8B" w14:textId="0849B8D8">
            <w:pPr>
              <w:pBdr/>
              <w:spacing w:after="40" w:before="40"/>
              <w:ind/>
              <w:jc w:val="center"/>
              <w:rPr>
                <w:rFonts w:cstheme="minorHAnsi"/>
                <w:szCs w:val="24"/>
              </w:rPr>
            </w:pPr>
            <w:r>
              <w:rPr>
                <w:rFonts w:cstheme="minorHAnsi"/>
                <w:szCs w:val="24"/>
              </w:rPr>
              <w:t xml:space="preserve">NEMHS, Tribal Health and Indian Health Service</w:t>
            </w:r>
            <w:r>
              <w:rPr>
                <w:rFonts w:cstheme="minorHAnsi"/>
                <w:szCs w:val="24"/>
              </w:rPr>
              <w:t xml:space="preserve"> Providers</w:t>
            </w:r>
            <w:r>
              <w:rPr>
                <w:rFonts w:cstheme="minorHAnsi"/>
                <w:szCs w:val="24"/>
              </w:rPr>
            </w:r>
          </w:p>
        </w:tc>
        <w:tc>
          <w:tcPr>
            <w:shd w:val="clear" w:color="auto" w:fill="fadad3" w:themeFill="accent5" w:themeFillTint="33"/>
            <w:tcBorders/>
            <w:tcW w:w="2448" w:type="dxa"/>
            <w:vAlign w:val="center"/>
          </w:tcPr>
          <w:p w14:paraId="43BC8F1E" w14:textId="7836FBD3">
            <w:pPr>
              <w:pBdr/>
              <w:spacing w:after="40" w:before="40"/>
              <w:ind/>
              <w:jc w:val="center"/>
              <w:rPr>
                <w:rFonts w:cstheme="minorHAnsi"/>
                <w:szCs w:val="24"/>
              </w:rPr>
            </w:pPr>
            <w:r>
              <w:rPr>
                <w:rFonts w:cstheme="minorHAnsi"/>
                <w:szCs w:val="24"/>
              </w:rPr>
              <w:t xml:space="preserve">Provider availability</w:t>
            </w:r>
            <w:r>
              <w:rPr>
                <w:rFonts w:cstheme="minorHAnsi"/>
                <w:szCs w:val="24"/>
              </w:rPr>
            </w:r>
          </w:p>
        </w:tc>
      </w:tr>
      <w:tr>
        <w:trPr>
          <w:trHeight w:val="1799"/>
        </w:trPr>
        <w:tc>
          <w:tcPr>
            <w:shd w:val="clear" w:color="auto" w:fill="fadad3" w:themeFill="accent5" w:themeFillTint="33"/>
            <w:tcBorders/>
            <w:tcW w:w="4707" w:type="dxa"/>
            <w:vAlign w:val="center"/>
          </w:tcPr>
          <w:p w14:paraId="1A47B646" w14:textId="613914FF">
            <w:pPr>
              <w:pBdr/>
              <w:spacing w:after="40" w:before="40"/>
              <w:ind/>
              <w:rPr/>
            </w:pPr>
            <w:r>
              <w:rPr>
                <w:rFonts w:cstheme="minorHAnsi"/>
                <w:szCs w:val="24"/>
              </w:rPr>
              <w:t xml:space="preserve">Promote expanded physical therapy access in Poplar and eastern Roosevelt County. Stay attuned to feedback and any needs that arise as service is implemented and access is expanded.</w:t>
            </w:r>
            <w:r/>
          </w:p>
        </w:tc>
        <w:tc>
          <w:tcPr>
            <w:shd w:val="clear" w:color="auto" w:fill="fadad3" w:themeFill="accent5" w:themeFillTint="33"/>
            <w:tcBorders/>
            <w:tcW w:w="1710" w:type="dxa"/>
            <w:vAlign w:val="center"/>
          </w:tcPr>
          <w:p w14:paraId="4C28543A" w14:textId="38972250">
            <w:pPr>
              <w:pBdr/>
              <w:spacing w:after="40" w:before="40"/>
              <w:ind/>
              <w:jc w:val="center"/>
              <w:rPr>
                <w:rFonts w:cstheme="minorHAnsi"/>
                <w:szCs w:val="24"/>
              </w:rPr>
            </w:pPr>
            <w:r>
              <w:rPr>
                <w:rFonts w:cstheme="minorHAnsi"/>
                <w:szCs w:val="24"/>
              </w:rPr>
              <w:t xml:space="preserve">Elaine Long and </w:t>
            </w:r>
            <w:r>
              <w:rPr>
                <w:rFonts w:cstheme="minorHAnsi"/>
                <w:szCs w:val="24"/>
              </w:rPr>
              <w:t xml:space="preserve">Kaitlyn Haynie</w:t>
            </w:r>
            <w:r>
              <w:rPr>
                <w:rFonts w:cstheme="minorHAnsi"/>
                <w:szCs w:val="24"/>
              </w:rPr>
            </w:r>
          </w:p>
        </w:tc>
        <w:tc>
          <w:tcPr>
            <w:shd w:val="clear" w:color="auto" w:fill="fadad3" w:themeFill="accent5" w:themeFillTint="33"/>
            <w:tcBorders/>
            <w:tcW w:w="1350" w:type="dxa"/>
            <w:vAlign w:val="center"/>
          </w:tcPr>
          <w:p w14:paraId="423402C5" w14:textId="261A40A0">
            <w:pPr>
              <w:pBdr/>
              <w:spacing w:after="40" w:before="40"/>
              <w:ind/>
              <w:jc w:val="center"/>
              <w:rPr>
                <w:rFonts w:cstheme="minorHAnsi"/>
                <w:szCs w:val="24"/>
              </w:rPr>
            </w:pPr>
            <w:r>
              <w:rPr>
                <w:rFonts w:cstheme="minorHAnsi"/>
                <w:szCs w:val="24"/>
              </w:rPr>
              <w:t xml:space="preserve">3/01/2026</w:t>
            </w:r>
            <w:r>
              <w:rPr>
                <w:rFonts w:cstheme="minorHAnsi"/>
                <w:szCs w:val="24"/>
              </w:rPr>
            </w:r>
          </w:p>
        </w:tc>
        <w:tc>
          <w:tcPr>
            <w:shd w:val="clear" w:color="auto" w:fill="fadad3" w:themeFill="accent5" w:themeFillTint="33"/>
            <w:tcBorders/>
            <w:tcW w:w="1890" w:type="dxa"/>
            <w:vAlign w:val="center"/>
          </w:tcPr>
          <w:p w14:paraId="605B2744" w14:textId="47C5E60D">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adad3" w:themeFill="accent5" w:themeFillTint="33"/>
            <w:tcBorders/>
            <w:tcW w:w="2070" w:type="dxa"/>
            <w:vAlign w:val="center"/>
          </w:tcPr>
          <w:p w14:paraId="23FE4488" w14:textId="4BE583D6">
            <w:pPr>
              <w:pBdr/>
              <w:spacing w:after="40" w:before="40"/>
              <w:ind/>
              <w:jc w:val="center"/>
              <w:rPr>
                <w:rFonts w:cstheme="minorHAnsi"/>
                <w:szCs w:val="24"/>
              </w:rPr>
            </w:pPr>
            <w:r>
              <w:rPr>
                <w:rFonts w:cstheme="minorHAnsi"/>
                <w:szCs w:val="24"/>
              </w:rPr>
              <w:t xml:space="preserve">NEMHS, Tribal Health and Indian Health Service Providers</w:t>
            </w:r>
            <w:r>
              <w:rPr>
                <w:rFonts w:cstheme="minorHAnsi"/>
                <w:szCs w:val="24"/>
              </w:rPr>
            </w:r>
          </w:p>
        </w:tc>
        <w:tc>
          <w:tcPr>
            <w:shd w:val="clear" w:color="auto" w:fill="fadad3" w:themeFill="accent5" w:themeFillTint="33"/>
            <w:tcBorders/>
            <w:tcW w:w="2448" w:type="dxa"/>
            <w:vAlign w:val="center"/>
          </w:tcPr>
          <w:p w14:paraId="6C97CD4D" w14:textId="1ADBCF97">
            <w:pPr>
              <w:pBdr/>
              <w:spacing w:after="40" w:before="40"/>
              <w:ind/>
              <w:jc w:val="center"/>
              <w:rPr>
                <w:rFonts w:cstheme="minorHAnsi"/>
                <w:szCs w:val="24"/>
              </w:rPr>
            </w:pPr>
            <w:r>
              <w:rPr>
                <w:rFonts w:cstheme="minorHAnsi"/>
                <w:szCs w:val="24"/>
              </w:rPr>
              <w:t xml:space="preserve">Limited s</w:t>
            </w:r>
            <w:r>
              <w:rPr>
                <w:rFonts w:cstheme="minorHAnsi"/>
                <w:szCs w:val="24"/>
              </w:rPr>
              <w:t xml:space="preserve">pace and PT/OT </w:t>
            </w:r>
            <w:r>
              <w:rPr>
                <w:rFonts w:cstheme="minorHAnsi"/>
                <w:szCs w:val="24"/>
              </w:rPr>
              <w:t xml:space="preserve">equipment</w:t>
            </w:r>
            <w:r>
              <w:rPr>
                <w:rFonts w:cstheme="minorHAnsi"/>
                <w:szCs w:val="24"/>
              </w:rPr>
              <w:t xml:space="preserve"> </w:t>
            </w:r>
            <w:r>
              <w:rPr>
                <w:rFonts w:cstheme="minorHAnsi"/>
                <w:szCs w:val="24"/>
              </w:rPr>
            </w:r>
          </w:p>
        </w:tc>
      </w:tr>
      <w:tr>
        <w:trPr>
          <w:trHeight w:val="1250"/>
        </w:trPr>
        <w:tc>
          <w:tcPr>
            <w:gridSpan w:val="6"/>
            <w:shd w:val="clear" w:color="auto" w:fill="fadad3" w:themeFill="accent5" w:themeFillTint="33"/>
            <w:tcBorders/>
            <w:tcW w:w="14175" w:type="dxa"/>
            <w:vAlign w:val="center"/>
          </w:tcPr>
          <w:p w14:paraId="5D2887F1" w14:textId="77777777">
            <w:pPr>
              <w:pBdr/>
              <w:spacing/>
              <w:ind/>
              <w:rPr>
                <w:rFonts w:cstheme="minorHAnsi"/>
                <w:b/>
                <w:szCs w:val="24"/>
              </w:rPr>
            </w:pPr>
            <w:r>
              <w:rPr>
                <w:rFonts w:cstheme="minorHAnsi"/>
                <w:b/>
                <w:szCs w:val="24"/>
              </w:rPr>
              <w:t xml:space="preserve">Needs Being Addressed by this Strategy:</w:t>
            </w:r>
            <w:r>
              <w:rPr>
                <w:rFonts w:cstheme="minorHAnsi"/>
                <w:b/>
                <w:szCs w:val="24"/>
              </w:rPr>
            </w:r>
          </w:p>
          <w:p w14:paraId="191E6F3E" w14:textId="77777777">
            <w:pPr>
              <w:pStyle w:val="1145"/>
              <w:numPr>
                <w:ilvl w:val="0"/>
                <w:numId w:val="15"/>
              </w:numPr>
              <w:pBdr/>
              <w:spacing/>
              <w:ind/>
              <w:rPr>
                <w:rFonts w:cstheme="minorHAnsi"/>
                <w:bCs/>
                <w:szCs w:val="24"/>
              </w:rPr>
            </w:pPr>
            <w:r>
              <w:t xml:space="preserve">1. 62% of respondents rated the general health of the community as “Unhealthy.”</w:t>
            </w:r>
            <w:r>
              <w:rPr>
                <w:rFonts w:cstheme="minorHAnsi"/>
                <w:bCs/>
                <w:szCs w:val="24"/>
              </w:rPr>
            </w:r>
          </w:p>
          <w:p w14:paraId="392B8C70" w14:textId="77777777">
            <w:pPr>
              <w:pStyle w:val="1145"/>
              <w:numPr>
                <w:ilvl w:val="0"/>
                <w:numId w:val="15"/>
              </w:numPr>
              <w:pBdr/>
              <w:spacing/>
              <w:ind/>
              <w:rPr>
                <w:rFonts w:cstheme="minorHAnsi"/>
                <w:bCs/>
                <w:szCs w:val="24"/>
              </w:rPr>
            </w:pPr>
            <w:r>
              <w:rPr>
                <w:rFonts w:cstheme="minorHAnsi"/>
                <w:bCs/>
                <w:szCs w:val="24"/>
              </w:rPr>
              <w:t xml:space="preserve">3. “Healthy behaviors and lifestyles” and “Access to healthcare and other services” are the two most important things for a healthy community. </w:t>
            </w:r>
            <w:r>
              <w:rPr>
                <w:rFonts w:cstheme="minorHAnsi"/>
                <w:bCs/>
                <w:szCs w:val="24"/>
              </w:rPr>
            </w:r>
          </w:p>
          <w:p w14:paraId="56B77875" w14:textId="77777777">
            <w:pPr>
              <w:pStyle w:val="1145"/>
              <w:numPr>
                <w:ilvl w:val="0"/>
                <w:numId w:val="15"/>
              </w:numPr>
              <w:pBdr/>
              <w:spacing/>
              <w:ind/>
              <w:rPr>
                <w:rFonts w:cstheme="minorHAnsi"/>
                <w:bCs/>
                <w:szCs w:val="24"/>
              </w:rPr>
            </w:pPr>
            <w:r>
              <w:rPr>
                <w:rFonts w:cstheme="minorHAnsi"/>
                <w:bCs/>
                <w:szCs w:val="24"/>
              </w:rPr>
              <w:t xml:space="preserve">4. Only 7% of respondents had utilized mental health care resources in the last year. </w:t>
            </w:r>
            <w:r>
              <w:rPr>
                <w:rFonts w:cstheme="minorHAnsi"/>
                <w:bCs/>
                <w:szCs w:val="24"/>
              </w:rPr>
            </w:r>
          </w:p>
          <w:p w14:paraId="09C20EBB" w14:textId="641C1DF0">
            <w:pPr>
              <w:pStyle w:val="1145"/>
              <w:numPr>
                <w:ilvl w:val="0"/>
                <w:numId w:val="15"/>
              </w:numPr>
              <w:pBdr/>
              <w:spacing/>
              <w:ind/>
              <w:rPr>
                <w:rFonts w:cstheme="minorHAnsi"/>
                <w:bCs/>
                <w:szCs w:val="24"/>
              </w:rPr>
            </w:pPr>
            <w:r>
              <w:rPr>
                <w:rFonts w:cstheme="minorHAnsi"/>
                <w:bCs/>
                <w:szCs w:val="24"/>
              </w:rPr>
              <w:t xml:space="preserve">6. 14% of respondents had gotten a colonoscopy in the last year. </w:t>
            </w:r>
            <w:r>
              <w:rPr>
                <w:rFonts w:cstheme="minorHAnsi"/>
                <w:bCs/>
                <w:szCs w:val="24"/>
              </w:rPr>
            </w:r>
          </w:p>
          <w:p w14:paraId="74BBCBCF" w14:textId="77777777">
            <w:pPr>
              <w:pStyle w:val="1145"/>
              <w:numPr>
                <w:ilvl w:val="0"/>
                <w:numId w:val="15"/>
              </w:numPr>
              <w:pBdr/>
              <w:spacing/>
              <w:ind/>
              <w:rPr>
                <w:rFonts w:cstheme="minorHAnsi"/>
                <w:bCs/>
                <w:szCs w:val="24"/>
              </w:rPr>
            </w:pPr>
            <w:r>
              <w:rPr>
                <w:rFonts w:cstheme="minorHAnsi"/>
                <w:bCs/>
                <w:szCs w:val="24"/>
              </w:rPr>
              <w:t xml:space="preserve">7. Many respondents indicated that they would utilize mental health services if they were available locally. </w:t>
            </w:r>
            <w:r>
              <w:rPr>
                <w:rFonts w:cstheme="minorHAnsi"/>
                <w:bCs/>
                <w:szCs w:val="24"/>
              </w:rPr>
            </w:r>
          </w:p>
          <w:p w14:paraId="6386C706" w14:textId="77777777">
            <w:pPr>
              <w:pStyle w:val="1145"/>
              <w:numPr>
                <w:ilvl w:val="0"/>
                <w:numId w:val="15"/>
              </w:numPr>
              <w:pBdr/>
              <w:spacing/>
              <w:ind/>
              <w:rPr>
                <w:rFonts w:cstheme="minorHAnsi"/>
                <w:bCs/>
                <w:szCs w:val="24"/>
              </w:rPr>
            </w:pPr>
            <w:r>
              <w:rPr>
                <w:rFonts w:cstheme="minorHAnsi"/>
                <w:bCs/>
                <w:szCs w:val="24"/>
              </w:rPr>
              <w:t xml:space="preserve">8. Respondents wrote in that they would like to see more dentistry offered locally. </w:t>
            </w:r>
            <w:r>
              <w:rPr>
                <w:rFonts w:cstheme="minorHAnsi"/>
                <w:bCs/>
                <w:szCs w:val="24"/>
              </w:rPr>
            </w:r>
          </w:p>
          <w:p w14:paraId="191E46EC" w14:textId="6F0E90BE">
            <w:pPr>
              <w:pStyle w:val="1145"/>
              <w:numPr>
                <w:ilvl w:val="0"/>
                <w:numId w:val="15"/>
              </w:numPr>
              <w:pBdr/>
              <w:spacing/>
              <w:ind/>
              <w:rPr>
                <w:rFonts w:cstheme="minorHAnsi"/>
                <w:bCs/>
                <w:szCs w:val="24"/>
              </w:rPr>
            </w:pPr>
            <w:r>
              <w:rPr>
                <w:rFonts w:cstheme="minorHAnsi"/>
                <w:bCs/>
                <w:szCs w:val="24"/>
              </w:rPr>
              <w:t xml:space="preserve">9. 32% of respondents report that they utilize hospitals outside of Poplar/Wolf Point, and many cited services offered as their reason why they visited a specific hospital. </w:t>
            </w:r>
            <w:r>
              <w:rPr>
                <w:rFonts w:cstheme="minorHAnsi"/>
                <w:bCs/>
                <w:szCs w:val="24"/>
              </w:rPr>
            </w:r>
          </w:p>
          <w:p w14:paraId="399380B6" w14:textId="77777777">
            <w:pPr>
              <w:pStyle w:val="1145"/>
              <w:numPr>
                <w:ilvl w:val="0"/>
                <w:numId w:val="15"/>
              </w:numPr>
              <w:pBdr/>
              <w:spacing/>
              <w:ind/>
              <w:rPr>
                <w:rFonts w:cstheme="minorHAnsi"/>
                <w:bCs/>
                <w:szCs w:val="24"/>
              </w:rPr>
            </w:pPr>
            <w:r>
              <w:rPr>
                <w:rFonts w:cstheme="minorHAnsi"/>
                <w:bCs/>
                <w:szCs w:val="24"/>
              </w:rPr>
              <w:t xml:space="preserve">11. 75% of respondents saw a specialist for care, and the majority reported going to a facility not in Poplar/Wolf Point to receive specialty care. </w:t>
            </w:r>
            <w:r>
              <w:rPr>
                <w:rFonts w:cstheme="minorHAnsi"/>
                <w:bCs/>
                <w:szCs w:val="24"/>
              </w:rPr>
            </w:r>
          </w:p>
          <w:p w14:paraId="76F413D8" w14:textId="6FECA809">
            <w:pPr>
              <w:pStyle w:val="1145"/>
              <w:numPr>
                <w:ilvl w:val="0"/>
                <w:numId w:val="15"/>
              </w:numPr>
              <w:pBdr/>
              <w:spacing/>
              <w:ind/>
              <w:rPr>
                <w:rFonts w:cstheme="minorHAnsi"/>
                <w:bCs/>
                <w:szCs w:val="24"/>
              </w:rPr>
            </w:pPr>
            <w:r>
              <w:rPr>
                <w:rFonts w:cstheme="minorHAnsi"/>
                <w:bCs/>
                <w:szCs w:val="24"/>
              </w:rPr>
              <w:t xml:space="preserve">12. 23% of respondents report receiving care from a physical therapist, and 20% saw a general surgeon. </w:t>
            </w:r>
            <w:r>
              <w:rPr>
                <w:rFonts w:cstheme="minorHAnsi"/>
                <w:bCs/>
                <w:szCs w:val="24"/>
              </w:rPr>
            </w:r>
          </w:p>
        </w:tc>
      </w:tr>
      <w:tr>
        <w:trPr>
          <w:trHeight w:val="1970"/>
        </w:trPr>
        <w:tc>
          <w:tcPr>
            <w:gridSpan w:val="6"/>
            <w:shd w:val="clear" w:color="auto" w:fill="fadad3" w:themeFill="accent5" w:themeFillTint="33"/>
            <w:tcBorders/>
            <w:tcW w:w="14175" w:type="dxa"/>
            <w:vAlign w:val="center"/>
          </w:tcPr>
          <w:p w14:paraId="7BE0A1FC" w14:textId="77777777">
            <w:pPr>
              <w:pBdr/>
              <w:spacing w:line="276" w:lineRule="auto"/>
              <w:ind/>
              <w:rPr>
                <w:rFonts w:cstheme="minorHAnsi"/>
                <w:b/>
                <w:szCs w:val="24"/>
              </w:rPr>
            </w:pPr>
            <w:r>
              <w:rPr>
                <w:b/>
                <w:bCs/>
              </w:rPr>
              <w:t xml:space="preserve">Anticipated Impact(s) of these Activities:</w:t>
            </w:r>
            <w:r>
              <w:rPr>
                <w:rFonts w:cstheme="minorHAnsi"/>
                <w:b/>
                <w:szCs w:val="24"/>
              </w:rPr>
            </w:r>
          </w:p>
          <w:p w14:paraId="13CF39A1" w14:textId="77777777">
            <w:pPr>
              <w:pStyle w:val="1145"/>
              <w:numPr>
                <w:ilvl w:val="0"/>
                <w:numId w:val="2"/>
              </w:numPr>
              <w:pBdr/>
              <w:spacing w:line="276" w:lineRule="auto"/>
              <w:ind/>
              <w:rPr/>
            </w:pPr>
            <w:r>
              <w:t xml:space="preserve">Increased access to specialty care locally</w:t>
            </w:r>
            <w:r/>
          </w:p>
          <w:p w14:paraId="17F7B837" w14:textId="77777777">
            <w:pPr>
              <w:pStyle w:val="1145"/>
              <w:numPr>
                <w:ilvl w:val="0"/>
                <w:numId w:val="2"/>
              </w:numPr>
              <w:pBdr/>
              <w:spacing w:line="276" w:lineRule="auto"/>
              <w:ind/>
              <w:rPr/>
            </w:pPr>
            <w:r>
              <w:t xml:space="preserve">Increased access to surgery locally </w:t>
            </w:r>
            <w:r/>
          </w:p>
          <w:p w14:paraId="258E1C55" w14:textId="77777777">
            <w:pPr>
              <w:pStyle w:val="1145"/>
              <w:numPr>
                <w:ilvl w:val="0"/>
                <w:numId w:val="2"/>
              </w:numPr>
              <w:pBdr/>
              <w:spacing w:line="276" w:lineRule="auto"/>
              <w:ind/>
              <w:rPr/>
            </w:pPr>
            <w:r>
              <w:t xml:space="preserve">Eased travel burden for care</w:t>
            </w:r>
            <w:r/>
          </w:p>
          <w:p w14:paraId="74D7B3EF" w14:textId="77777777">
            <w:pPr>
              <w:pStyle w:val="1145"/>
              <w:numPr>
                <w:ilvl w:val="0"/>
                <w:numId w:val="2"/>
              </w:numPr>
              <w:pBdr/>
              <w:spacing w:line="276" w:lineRule="auto"/>
              <w:ind/>
              <w:rPr/>
            </w:pPr>
            <w:r>
              <w:t xml:space="preserve">Increased preventive services offered</w:t>
            </w:r>
            <w:r/>
          </w:p>
          <w:p w14:paraId="53850461" w14:textId="2738C296">
            <w:pPr>
              <w:pStyle w:val="1145"/>
              <w:numPr>
                <w:ilvl w:val="0"/>
                <w:numId w:val="2"/>
              </w:numPr>
              <w:pBdr/>
              <w:spacing w:line="276" w:lineRule="auto"/>
              <w:ind/>
              <w:rPr/>
            </w:pPr>
            <w:r>
              <w:t xml:space="preserve">Improved health outcomes </w:t>
            </w:r>
            <w:r/>
          </w:p>
        </w:tc>
      </w:tr>
      <w:tr>
        <w:trPr>
          <w:trHeight w:val="2015"/>
        </w:trPr>
        <w:tc>
          <w:tcPr>
            <w:gridSpan w:val="6"/>
            <w:shd w:val="clear" w:color="auto" w:fill="fadad3" w:themeFill="accent5" w:themeFillTint="33"/>
            <w:tcBorders/>
            <w:tcW w:w="14175" w:type="dxa"/>
            <w:vAlign w:val="center"/>
          </w:tcPr>
          <w:p w14:paraId="49078134" w14:textId="77777777">
            <w:pPr>
              <w:pBdr/>
              <w:spacing w:line="276" w:lineRule="auto"/>
              <w:ind/>
              <w:rPr>
                <w:b/>
                <w:bCs/>
              </w:rPr>
            </w:pPr>
            <w:r>
              <w:rPr>
                <w:b/>
                <w:bCs/>
              </w:rPr>
              <w:t xml:space="preserve">Plan to Evaluate Anticipated Impact(s) of these Activities:</w:t>
            </w:r>
            <w:r>
              <w:rPr>
                <w:b/>
                <w:bCs/>
              </w:rPr>
            </w:r>
          </w:p>
          <w:p w14:paraId="791B1FA3" w14:textId="77777777">
            <w:pPr>
              <w:pStyle w:val="1145"/>
              <w:numPr>
                <w:ilvl w:val="0"/>
                <w:numId w:val="2"/>
              </w:numPr>
              <w:pBdr/>
              <w:spacing w:line="276" w:lineRule="auto"/>
              <w:ind/>
              <w:rPr/>
            </w:pPr>
            <w:r>
              <w:t xml:space="preserve">Document efforts to bolster specialty care</w:t>
            </w:r>
            <w:r/>
          </w:p>
          <w:p w14:paraId="3A717189" w14:textId="77777777">
            <w:pPr>
              <w:pStyle w:val="1145"/>
              <w:numPr>
                <w:ilvl w:val="0"/>
                <w:numId w:val="2"/>
              </w:numPr>
              <w:pBdr/>
              <w:spacing w:line="276" w:lineRule="auto"/>
              <w:ind/>
              <w:rPr/>
            </w:pPr>
            <w:r>
              <w:t xml:space="preserve">Document feasibility of bringing on general surgery</w:t>
            </w:r>
            <w:r/>
          </w:p>
          <w:p w14:paraId="25C92E94" w14:textId="77777777">
            <w:pPr>
              <w:pStyle w:val="1145"/>
              <w:numPr>
                <w:ilvl w:val="0"/>
                <w:numId w:val="2"/>
              </w:numPr>
              <w:pBdr/>
              <w:spacing w:line="276" w:lineRule="auto"/>
              <w:ind/>
              <w:rPr/>
            </w:pPr>
            <w:r>
              <w:t xml:space="preserve">Document efforts to implement pediatric dental surgery </w:t>
            </w:r>
            <w:r/>
          </w:p>
          <w:p w14:paraId="79F6103E" w14:textId="77777777">
            <w:pPr>
              <w:pStyle w:val="1145"/>
              <w:numPr>
                <w:ilvl w:val="0"/>
                <w:numId w:val="2"/>
              </w:numPr>
              <w:pBdr/>
              <w:spacing w:line="276" w:lineRule="auto"/>
              <w:ind/>
              <w:rPr/>
            </w:pPr>
            <w:r>
              <w:t xml:space="preserve">Track preventive service advertising</w:t>
            </w:r>
            <w:r/>
          </w:p>
          <w:p w14:paraId="49439618" w14:textId="2E88E7A1">
            <w:pPr>
              <w:pStyle w:val="1145"/>
              <w:numPr>
                <w:ilvl w:val="0"/>
                <w:numId w:val="2"/>
              </w:numPr>
              <w:pBdr/>
              <w:spacing w:line="276" w:lineRule="auto"/>
              <w:ind/>
              <w:rPr/>
            </w:pPr>
            <w:r>
              <w:t xml:space="preserve">Document provider availability for increased preventive service offerings</w:t>
            </w:r>
            <w:r/>
          </w:p>
        </w:tc>
      </w:tr>
      <w:tr>
        <w:trPr>
          <w:trHeight w:val="432"/>
        </w:trPr>
        <w:tc>
          <w:tcPr>
            <w:gridSpan w:val="6"/>
            <w:shd w:val="clear" w:color="auto" w:fill="fadad3" w:themeFill="accent5" w:themeFillTint="33"/>
            <w:tcBorders/>
            <w:tcW w:w="14175" w:type="dxa"/>
            <w:vAlign w:val="center"/>
          </w:tcPr>
          <w:p w14:paraId="3688D31D" w14:textId="06B4D02F">
            <w:pPr>
              <w:pBdr/>
              <w:spacing/>
              <w:ind/>
              <w:rPr/>
            </w:pPr>
            <w:r>
              <w:rPr>
                <w:b/>
                <w:bCs/>
              </w:rPr>
              <w:t xml:space="preserve">Measure of Success:</w:t>
            </w:r>
            <w:r>
              <w:t xml:space="preserve"> </w:t>
            </w:r>
            <w:r>
              <w:t xml:space="preserve">Specialty care, such as PT, dentistry, and </w:t>
            </w:r>
            <w:r>
              <w:t xml:space="preserve">colonoscopy, and surgery, is more accessible in Roosevelt County. </w:t>
            </w:r>
            <w:r/>
          </w:p>
        </w:tc>
      </w:tr>
    </w:tbl>
    <w:p w14:paraId="08EBDB2E" w14:textId="4A37CD41">
      <w:pPr>
        <w:pBdr/>
        <w:spacing w:after="200" w:line="276" w:lineRule="auto"/>
        <w:ind/>
        <w:rPr>
          <w:rFonts w:cstheme="minorHAnsi"/>
          <w:b/>
          <w:i/>
        </w:rPr>
      </w:pPr>
      <w:r>
        <w:rPr>
          <w:rFonts w:cstheme="minorHAnsi"/>
          <w:b/>
          <w:i/>
        </w:rPr>
      </w:r>
      <w:r>
        <w:rPr>
          <w:rFonts w:cstheme="minorHAnsi"/>
          <w:b/>
          <w:i/>
        </w:rPr>
      </w:r>
    </w:p>
    <w:p w14:paraId="71377FDF" w14:textId="77777777">
      <w:pPr>
        <w:pBdr/>
        <w:spacing w:after="200" w:line="276" w:lineRule="auto"/>
        <w:ind/>
        <w:rPr>
          <w:rFonts w:cstheme="minorHAnsi"/>
          <w:b/>
          <w:i/>
        </w:rPr>
      </w:pPr>
      <w:r>
        <w:rPr>
          <w:rFonts w:cstheme="minorHAnsi"/>
          <w:b/>
          <w:i/>
        </w:rPr>
      </w:r>
      <w:r>
        <w:rPr>
          <w:rFonts w:cstheme="minorHAnsi"/>
          <w:b/>
          <w:i/>
        </w:rPr>
      </w:r>
    </w:p>
    <w:tbl>
      <w:tblPr>
        <w:tblStyle w:val="1138"/>
        <w:tblInd w:w="-459" w:type="dxa"/>
        <w:tblW w:w="14175" w:type="dxa"/>
        <w:tblBorders>
          <w:top w:val="single" w:color="ec7016" w:themeColor="accent4" w:sz="4" w:space="0"/>
          <w:left w:val="single" w:color="ec7016" w:themeColor="accent4" w:sz="4" w:space="0"/>
          <w:bottom w:val="single" w:color="ec7016" w:themeColor="accent4" w:sz="4" w:space="0"/>
          <w:right w:val="single" w:color="ec7016" w:themeColor="accent4" w:sz="4" w:space="0"/>
          <w:insideH w:val="single" w:color="ec7016" w:themeColor="accent4" w:sz="4" w:space="0"/>
          <w:insideV w:val="single" w:color="ec7016" w:themeColor="accent4" w:sz="4" w:space="0"/>
        </w:tblBorders>
        <w:tblLayout w:type="fixed"/>
        <w:tblLook w:val="04A0" w:firstRow="1" w:lastRow="0" w:firstColumn="1" w:lastColumn="0" w:noHBand="0" w:noVBand="1"/>
      </w:tblPr>
      <w:tblGrid>
        <w:gridCol w:w="4707"/>
        <w:gridCol w:w="1710"/>
        <w:gridCol w:w="1350"/>
        <w:gridCol w:w="1890"/>
        <w:gridCol w:w="2070"/>
        <w:gridCol w:w="2448"/>
      </w:tblGrid>
      <w:tr>
        <w:trPr>
          <w:trHeight w:val="611"/>
        </w:trPr>
        <w:tc>
          <w:tcPr>
            <w:gridSpan w:val="6"/>
            <w:shd w:val="clear" w:color="auto" w:fill="f3a873" w:themeFill="accent4" w:themeFillTint="99"/>
            <w:tcBorders/>
            <w:tcW w:w="14175" w:type="dxa"/>
            <w:vAlign w:val="center"/>
          </w:tcPr>
          <w:p w14:paraId="6C55F731" w14:textId="57A1002E">
            <w:pPr>
              <w:pBdr/>
              <w:spacing/>
              <w:ind/>
              <w:rPr>
                <w:rFonts w:cstheme="minorHAnsi"/>
                <w:b/>
                <w:szCs w:val="24"/>
              </w:rPr>
            </w:pPr>
            <w:r>
              <w:rPr>
                <w:rFonts w:cstheme="minorHAnsi"/>
                <w:b/>
                <w:szCs w:val="24"/>
              </w:rPr>
              <w:t xml:space="preserve">Goal 3: </w:t>
            </w:r>
            <w:r>
              <w:rPr>
                <w:rFonts w:cstheme="minorHAnsi"/>
                <w:b/>
                <w:szCs w:val="24"/>
              </w:rPr>
              <w:t xml:space="preserve">Advance community health throughout Roosevelt County.</w:t>
            </w:r>
            <w:r>
              <w:rPr>
                <w:rFonts w:cstheme="minorHAnsi"/>
                <w:b/>
                <w:szCs w:val="24"/>
              </w:rPr>
              <w:t xml:space="preserve"> </w:t>
            </w:r>
            <w:r>
              <w:rPr>
                <w:rFonts w:cstheme="minorHAnsi"/>
                <w:b/>
                <w:szCs w:val="24"/>
              </w:rPr>
            </w:r>
          </w:p>
        </w:tc>
      </w:tr>
      <w:tr>
        <w:trPr>
          <w:trHeight w:val="530"/>
        </w:trPr>
        <w:tc>
          <w:tcPr>
            <w:gridSpan w:val="6"/>
            <w:shd w:val="clear" w:color="auto" w:fill="f3a873" w:themeFill="accent4" w:themeFillTint="99"/>
            <w:tcBorders/>
            <w:tcW w:w="14175" w:type="dxa"/>
            <w:vAlign w:val="center"/>
          </w:tcPr>
          <w:p w14:paraId="430245A6" w14:textId="609FF6D3">
            <w:pPr>
              <w:pBdr/>
              <w:spacing/>
              <w:ind/>
              <w:rPr>
                <w:rFonts w:cstheme="minorHAnsi"/>
                <w:szCs w:val="24"/>
              </w:rPr>
            </w:pPr>
            <w:r>
              <w:rPr>
                <w:rFonts w:cstheme="minorHAnsi"/>
                <w:b/>
                <w:szCs w:val="24"/>
              </w:rPr>
              <w:t xml:space="preserve">Strategy 3.1:</w:t>
            </w:r>
            <w:r>
              <w:rPr>
                <w:rFonts w:cstheme="minorHAnsi"/>
                <w:szCs w:val="24"/>
              </w:rPr>
              <w:t xml:space="preserve"> </w:t>
            </w:r>
            <w:r>
              <w:rPr>
                <w:rFonts w:cstheme="minorHAnsi"/>
                <w:b/>
              </w:rPr>
              <w:t xml:space="preserve">Continue to work with community partners to address mental and behavioral health.</w:t>
            </w:r>
            <w:r>
              <w:rPr>
                <w:rFonts w:cstheme="minorHAnsi"/>
                <w:szCs w:val="24"/>
              </w:rPr>
            </w:r>
          </w:p>
        </w:tc>
      </w:tr>
      <w:tr>
        <w:trPr>
          <w:trHeight w:val="432"/>
        </w:trPr>
        <w:tc>
          <w:tcPr>
            <w:shd w:val="clear" w:color="auto" w:fill="b2530e" w:themeFill="accent4" w:themeFillShade="BF"/>
            <w:tcBorders/>
            <w:tcW w:w="4707" w:type="dxa"/>
            <w:vAlign w:val="center"/>
          </w:tcPr>
          <w:p w14:paraId="57277016" w14:textId="77777777">
            <w:pPr>
              <w:pBdr/>
              <w:spacing/>
              <w:ind/>
              <w:jc w:val="center"/>
              <w:rPr>
                <w:rFonts w:cstheme="minorHAnsi"/>
                <w:b/>
                <w:color w:val="ffffff" w:themeColor="background1"/>
                <w:szCs w:val="24"/>
              </w:rPr>
            </w:pPr>
            <w:r>
              <w:rPr>
                <w:rFonts w:cstheme="minorHAnsi"/>
                <w:b/>
                <w:color w:val="ffffff" w:themeColor="background1"/>
                <w:szCs w:val="24"/>
              </w:rPr>
              <w:t xml:space="preserve">Activities</w:t>
            </w:r>
            <w:r>
              <w:rPr>
                <w:rFonts w:cstheme="minorHAnsi"/>
                <w:b/>
                <w:color w:val="ffffff" w:themeColor="background1"/>
                <w:szCs w:val="24"/>
              </w:rPr>
            </w:r>
          </w:p>
        </w:tc>
        <w:tc>
          <w:tcPr>
            <w:shd w:val="clear" w:color="auto" w:fill="b2530e" w:themeFill="accent4" w:themeFillShade="BF"/>
            <w:tcBorders/>
            <w:tcW w:w="1710" w:type="dxa"/>
            <w:vAlign w:val="center"/>
          </w:tcPr>
          <w:p w14:paraId="1F03D5C2" w14:textId="77777777">
            <w:pPr>
              <w:pBdr/>
              <w:spacing/>
              <w:ind/>
              <w:jc w:val="center"/>
              <w:rPr>
                <w:rFonts w:cstheme="minorHAnsi"/>
                <w:b/>
                <w:color w:val="ffffff" w:themeColor="background1"/>
                <w:szCs w:val="24"/>
              </w:rPr>
            </w:pPr>
            <w:r>
              <w:rPr>
                <w:rFonts w:cstheme="minorHAnsi"/>
                <w:b/>
                <w:color w:val="ffffff" w:themeColor="background1"/>
                <w:szCs w:val="24"/>
              </w:rPr>
              <w:t xml:space="preserve">Responsibility</w:t>
            </w:r>
            <w:r>
              <w:rPr>
                <w:rFonts w:cstheme="minorHAnsi"/>
                <w:b/>
                <w:color w:val="ffffff" w:themeColor="background1"/>
                <w:szCs w:val="24"/>
              </w:rPr>
            </w:r>
          </w:p>
        </w:tc>
        <w:tc>
          <w:tcPr>
            <w:shd w:val="clear" w:color="auto" w:fill="b2530e" w:themeFill="accent4" w:themeFillShade="BF"/>
            <w:tcBorders/>
            <w:tcW w:w="1350" w:type="dxa"/>
            <w:vAlign w:val="center"/>
          </w:tcPr>
          <w:p w14:paraId="712C3E2D" w14:textId="77777777">
            <w:pPr>
              <w:pBdr/>
              <w:spacing/>
              <w:ind/>
              <w:jc w:val="center"/>
              <w:rPr>
                <w:rFonts w:cstheme="minorHAnsi"/>
                <w:b/>
                <w:color w:val="ffffff" w:themeColor="background1"/>
                <w:szCs w:val="24"/>
              </w:rPr>
            </w:pPr>
            <w:r>
              <w:rPr>
                <w:rFonts w:cstheme="minorHAnsi"/>
                <w:b/>
                <w:color w:val="ffffff" w:themeColor="background1"/>
                <w:szCs w:val="24"/>
              </w:rPr>
              <w:t xml:space="preserve">Timeline</w:t>
            </w:r>
            <w:r>
              <w:rPr>
                <w:rFonts w:cstheme="minorHAnsi"/>
                <w:b/>
                <w:color w:val="ffffff" w:themeColor="background1"/>
                <w:szCs w:val="24"/>
              </w:rPr>
            </w:r>
          </w:p>
        </w:tc>
        <w:tc>
          <w:tcPr>
            <w:shd w:val="clear" w:color="auto" w:fill="b2530e" w:themeFill="accent4" w:themeFillShade="BF"/>
            <w:tcBorders/>
            <w:tcW w:w="1890" w:type="dxa"/>
            <w:vAlign w:val="center"/>
          </w:tcPr>
          <w:p w14:paraId="495A4839" w14:textId="77777777">
            <w:pPr>
              <w:pBdr/>
              <w:spacing/>
              <w:ind/>
              <w:jc w:val="center"/>
              <w:rPr>
                <w:rFonts w:cstheme="minorHAnsi"/>
                <w:b/>
                <w:color w:val="ffffff" w:themeColor="background1"/>
                <w:szCs w:val="24"/>
              </w:rPr>
            </w:pPr>
            <w:r>
              <w:rPr>
                <w:rFonts w:cstheme="minorHAnsi"/>
                <w:b/>
                <w:color w:val="ffffff" w:themeColor="background1"/>
                <w:szCs w:val="24"/>
              </w:rPr>
              <w:t xml:space="preserve">Final Approval</w:t>
            </w:r>
            <w:r>
              <w:rPr>
                <w:rFonts w:cstheme="minorHAnsi"/>
                <w:b/>
                <w:color w:val="ffffff" w:themeColor="background1"/>
                <w:szCs w:val="24"/>
              </w:rPr>
            </w:r>
          </w:p>
        </w:tc>
        <w:tc>
          <w:tcPr>
            <w:shd w:val="clear" w:color="auto" w:fill="b2530e" w:themeFill="accent4" w:themeFillShade="BF"/>
            <w:tcBorders/>
            <w:tcW w:w="2070" w:type="dxa"/>
            <w:vAlign w:val="center"/>
          </w:tcPr>
          <w:p w14:paraId="2791808F" w14:textId="77777777">
            <w:pPr>
              <w:pBdr/>
              <w:spacing/>
              <w:ind/>
              <w:jc w:val="center"/>
              <w:rPr>
                <w:rFonts w:cstheme="minorHAnsi"/>
                <w:b/>
                <w:color w:val="ffffff" w:themeColor="background1"/>
                <w:szCs w:val="24"/>
              </w:rPr>
            </w:pPr>
            <w:r>
              <w:rPr>
                <w:rFonts w:cstheme="minorHAnsi"/>
                <w:b/>
                <w:color w:val="ffffff" w:themeColor="background1"/>
                <w:szCs w:val="24"/>
              </w:rPr>
              <w:t xml:space="preserve">Partners</w:t>
            </w:r>
            <w:r>
              <w:rPr>
                <w:rFonts w:cstheme="minorHAnsi"/>
                <w:b/>
                <w:color w:val="ffffff" w:themeColor="background1"/>
                <w:szCs w:val="24"/>
              </w:rPr>
            </w:r>
          </w:p>
        </w:tc>
        <w:tc>
          <w:tcPr>
            <w:shd w:val="clear" w:color="auto" w:fill="b2530e" w:themeFill="accent4" w:themeFillShade="BF"/>
            <w:tcBorders/>
            <w:tcW w:w="2448" w:type="dxa"/>
            <w:vAlign w:val="center"/>
          </w:tcPr>
          <w:p w14:paraId="13FDBD3A" w14:textId="77777777">
            <w:pPr>
              <w:pBdr/>
              <w:spacing/>
              <w:ind/>
              <w:jc w:val="center"/>
              <w:rPr>
                <w:rFonts w:cstheme="minorHAnsi"/>
                <w:b/>
                <w:color w:val="ffffff" w:themeColor="background1"/>
                <w:szCs w:val="24"/>
              </w:rPr>
            </w:pPr>
            <w:r>
              <w:rPr>
                <w:rFonts w:cstheme="minorHAnsi"/>
                <w:b/>
                <w:color w:val="ffffff" w:themeColor="background1"/>
                <w:szCs w:val="24"/>
              </w:rPr>
              <w:t xml:space="preserve">Potential Barriers </w:t>
            </w:r>
            <w:r>
              <w:rPr>
                <w:rFonts w:cstheme="minorHAnsi"/>
                <w:b/>
                <w:color w:val="ffffff" w:themeColor="background1"/>
                <w:szCs w:val="24"/>
              </w:rPr>
            </w:r>
          </w:p>
        </w:tc>
      </w:tr>
      <w:tr>
        <w:trPr>
          <w:trHeight w:val="1340"/>
        </w:trPr>
        <w:tc>
          <w:tcPr>
            <w:shd w:val="clear" w:color="auto" w:fill="fbe2d0" w:themeFill="accent4" w:themeFillTint="33"/>
            <w:tcBorders/>
            <w:tcW w:w="4707" w:type="dxa"/>
            <w:vAlign w:val="center"/>
          </w:tcPr>
          <w:p w14:paraId="298439E5" w14:textId="55636977">
            <w:pPr>
              <w:pBdr/>
              <w:spacing w:after="40" w:before="40"/>
              <w:ind/>
              <w:rPr>
                <w:rFonts w:cstheme="minorHAnsi"/>
                <w:szCs w:val="24"/>
              </w:rPr>
            </w:pPr>
            <w:r>
              <w:rPr>
                <w:rFonts w:cstheme="minorHAnsi"/>
                <w:szCs w:val="24"/>
              </w:rPr>
              <w:t xml:space="preserve">Continue to be involved with local conversations about bolstering mental and behavioral crisis response resources and systems.</w:t>
            </w:r>
            <w:r>
              <w:rPr>
                <w:rFonts w:cstheme="minorHAnsi"/>
                <w:szCs w:val="24"/>
              </w:rPr>
            </w:r>
          </w:p>
        </w:tc>
        <w:tc>
          <w:tcPr>
            <w:shd w:val="clear" w:color="auto" w:fill="fbe2d0" w:themeFill="accent4" w:themeFillTint="33"/>
            <w:tcBorders/>
            <w:tcW w:w="1710" w:type="dxa"/>
            <w:vAlign w:val="center"/>
          </w:tcPr>
          <w:p w14:paraId="50ADC5F4" w14:textId="2E245CA9">
            <w:pPr>
              <w:pBdr/>
              <w:spacing w:after="40" w:before="40"/>
              <w:ind/>
              <w:jc w:val="center"/>
              <w:rPr>
                <w:rFonts w:cstheme="minorHAnsi"/>
                <w:szCs w:val="24"/>
              </w:rPr>
            </w:pPr>
            <w:r>
              <w:rPr>
                <w:rFonts w:cstheme="minorHAnsi"/>
                <w:szCs w:val="24"/>
              </w:rPr>
              <w:t xml:space="preserve">Elaine Long</w:t>
            </w:r>
            <w:r>
              <w:rPr>
                <w:rFonts w:cstheme="minorHAnsi"/>
                <w:szCs w:val="24"/>
              </w:rPr>
            </w:r>
          </w:p>
        </w:tc>
        <w:tc>
          <w:tcPr>
            <w:shd w:val="clear" w:color="auto" w:fill="fbe2d0" w:themeFill="accent4" w:themeFillTint="33"/>
            <w:tcBorders/>
            <w:tcW w:w="1350" w:type="dxa"/>
            <w:vAlign w:val="center"/>
          </w:tcPr>
          <w:p w14:paraId="35901196" w14:textId="678F303A">
            <w:pPr>
              <w:pBdr/>
              <w:spacing w:after="40" w:before="40"/>
              <w:ind/>
              <w:jc w:val="center"/>
              <w:rPr>
                <w:rFonts w:cstheme="minorHAnsi"/>
                <w:szCs w:val="24"/>
              </w:rPr>
            </w:pPr>
            <w:r>
              <w:rPr>
                <w:rFonts w:cstheme="minorHAnsi"/>
                <w:szCs w:val="24"/>
              </w:rPr>
              <w:t xml:space="preserve">On-going</w:t>
            </w:r>
            <w:r>
              <w:rPr>
                <w:rFonts w:cstheme="minorHAnsi"/>
                <w:szCs w:val="24"/>
              </w:rPr>
            </w:r>
          </w:p>
        </w:tc>
        <w:tc>
          <w:tcPr>
            <w:shd w:val="clear" w:color="auto" w:fill="fbe2d0" w:themeFill="accent4" w:themeFillTint="33"/>
            <w:tcBorders/>
            <w:tcW w:w="1890" w:type="dxa"/>
            <w:vAlign w:val="center"/>
          </w:tcPr>
          <w:p w14:paraId="72FF6934" w14:textId="44D6BA27">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be2d0" w:themeFill="accent4" w:themeFillTint="33"/>
            <w:tcBorders/>
            <w:tcW w:w="2070" w:type="dxa"/>
            <w:vAlign w:val="center"/>
          </w:tcPr>
          <w:p w14:paraId="4B73D531" w14:textId="13305B41">
            <w:pPr>
              <w:pBdr/>
              <w:spacing w:after="40" w:before="40"/>
              <w:ind/>
              <w:jc w:val="center"/>
              <w:rPr>
                <w:rFonts w:cstheme="minorHAnsi"/>
                <w:szCs w:val="24"/>
              </w:rPr>
            </w:pPr>
            <w:r>
              <w:rPr>
                <w:rFonts w:cstheme="minorHAnsi"/>
                <w:szCs w:val="24"/>
              </w:rPr>
              <w:t xml:space="preserve">NEMHS, Tribal Health and Indian Health Service Providers</w:t>
            </w:r>
            <w:r>
              <w:rPr>
                <w:rFonts w:cstheme="minorHAnsi"/>
                <w:szCs w:val="24"/>
              </w:rPr>
            </w:r>
          </w:p>
        </w:tc>
        <w:tc>
          <w:tcPr>
            <w:shd w:val="clear" w:color="auto" w:fill="fbe2d0" w:themeFill="accent4" w:themeFillTint="33"/>
            <w:tcBorders/>
            <w:tcW w:w="2448" w:type="dxa"/>
            <w:vAlign w:val="center"/>
          </w:tcPr>
          <w:p w14:paraId="35C6A8D2" w14:textId="3B1B61B0">
            <w:pPr>
              <w:pBdr/>
              <w:spacing w:after="40" w:before="40"/>
              <w:ind/>
              <w:jc w:val="center"/>
              <w:rPr>
                <w:rFonts w:cstheme="minorHAnsi"/>
                <w:szCs w:val="24"/>
              </w:rPr>
            </w:pPr>
            <w:r>
              <w:rPr>
                <w:rFonts w:cstheme="minorHAnsi"/>
                <w:szCs w:val="24"/>
              </w:rPr>
              <w:t xml:space="preserve">Mental Health Provider availability</w:t>
            </w:r>
            <w:r>
              <w:rPr>
                <w:rFonts w:cstheme="minorHAnsi"/>
                <w:szCs w:val="24"/>
              </w:rPr>
            </w:r>
          </w:p>
        </w:tc>
      </w:tr>
      <w:tr>
        <w:trPr>
          <w:trHeight w:val="1169"/>
        </w:trPr>
        <w:tc>
          <w:tcPr>
            <w:shd w:val="clear" w:color="auto" w:fill="fbe2d0" w:themeFill="accent4" w:themeFillTint="33"/>
            <w:tcBorders/>
            <w:tcW w:w="4707" w:type="dxa"/>
            <w:vAlign w:val="center"/>
          </w:tcPr>
          <w:p w14:paraId="46C73347" w14:textId="135CDC86">
            <w:pPr>
              <w:pBdr/>
              <w:spacing w:after="40" w:before="40"/>
              <w:ind/>
              <w:rPr>
                <w:rFonts w:cstheme="minorHAnsi"/>
                <w:szCs w:val="24"/>
              </w:rPr>
            </w:pPr>
            <w:r>
              <w:rPr>
                <w:rFonts w:cstheme="minorHAnsi"/>
                <w:szCs w:val="24"/>
              </w:rPr>
              <w:t xml:space="preserve">Support Tribal Crisis Coalition’s Strategic Plan to address mental and behavioral health and alcohol and substance use as best NEMHS is able to given funding and staffing barriers.</w:t>
            </w:r>
            <w:r>
              <w:rPr>
                <w:rFonts w:cstheme="minorHAnsi"/>
                <w:szCs w:val="24"/>
              </w:rPr>
            </w:r>
          </w:p>
        </w:tc>
        <w:tc>
          <w:tcPr>
            <w:shd w:val="clear" w:color="auto" w:fill="fbe2d0" w:themeFill="accent4" w:themeFillTint="33"/>
            <w:tcBorders/>
            <w:tcW w:w="1710" w:type="dxa"/>
            <w:vAlign w:val="center"/>
          </w:tcPr>
          <w:p w14:paraId="6306F4D2" w14:textId="53B56CF2">
            <w:pPr>
              <w:pBdr/>
              <w:spacing w:after="40" w:before="40"/>
              <w:ind/>
              <w:jc w:val="center"/>
              <w:rPr>
                <w:rFonts w:cstheme="minorHAnsi"/>
                <w:szCs w:val="24"/>
              </w:rPr>
            </w:pPr>
            <w:r>
              <w:rPr>
                <w:rFonts w:cstheme="minorHAnsi"/>
                <w:szCs w:val="24"/>
              </w:rPr>
              <w:t xml:space="preserve">Elaine Long</w:t>
            </w:r>
            <w:r>
              <w:rPr>
                <w:rFonts w:cstheme="minorHAnsi"/>
                <w:szCs w:val="24"/>
              </w:rPr>
            </w:r>
          </w:p>
        </w:tc>
        <w:tc>
          <w:tcPr>
            <w:shd w:val="clear" w:color="auto" w:fill="fbe2d0" w:themeFill="accent4" w:themeFillTint="33"/>
            <w:tcBorders/>
            <w:tcW w:w="1350" w:type="dxa"/>
            <w:vAlign w:val="center"/>
          </w:tcPr>
          <w:p w14:paraId="1CEB07D0" w14:textId="084B86F3">
            <w:pPr>
              <w:pBdr/>
              <w:spacing w:after="40" w:before="40"/>
              <w:ind/>
              <w:jc w:val="center"/>
              <w:rPr>
                <w:rFonts w:cstheme="minorHAnsi"/>
                <w:szCs w:val="24"/>
              </w:rPr>
            </w:pPr>
            <w:r>
              <w:rPr>
                <w:rFonts w:cstheme="minorHAnsi"/>
                <w:szCs w:val="24"/>
              </w:rPr>
              <w:t xml:space="preserve">On-going</w:t>
            </w:r>
            <w:r>
              <w:rPr>
                <w:rFonts w:cstheme="minorHAnsi"/>
                <w:szCs w:val="24"/>
              </w:rPr>
            </w:r>
          </w:p>
        </w:tc>
        <w:tc>
          <w:tcPr>
            <w:shd w:val="clear" w:color="auto" w:fill="fbe2d0" w:themeFill="accent4" w:themeFillTint="33"/>
            <w:tcBorders/>
            <w:tcW w:w="1890" w:type="dxa"/>
            <w:vAlign w:val="center"/>
          </w:tcPr>
          <w:p w14:paraId="7F978323" w14:textId="0316D8FB">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be2d0" w:themeFill="accent4" w:themeFillTint="33"/>
            <w:tcBorders/>
            <w:tcW w:w="2070" w:type="dxa"/>
            <w:vAlign w:val="center"/>
          </w:tcPr>
          <w:p w14:paraId="728EC7FA" w14:textId="690AB22B">
            <w:pPr>
              <w:pBdr/>
              <w:spacing w:after="40" w:before="40"/>
              <w:ind/>
              <w:jc w:val="center"/>
              <w:rPr>
                <w:rFonts w:cstheme="minorHAnsi"/>
                <w:szCs w:val="24"/>
              </w:rPr>
            </w:pPr>
            <w:r>
              <w:rPr>
                <w:rFonts w:cstheme="minorHAnsi"/>
                <w:szCs w:val="24"/>
              </w:rPr>
              <w:t xml:space="preserve">NEMHS, Tribal Health and Indian Health Service Providers</w:t>
            </w:r>
            <w:r>
              <w:rPr>
                <w:rFonts w:cstheme="minorHAnsi"/>
                <w:szCs w:val="24"/>
              </w:rPr>
            </w:r>
          </w:p>
        </w:tc>
        <w:tc>
          <w:tcPr>
            <w:shd w:val="clear" w:color="auto" w:fill="fbe2d0" w:themeFill="accent4" w:themeFillTint="33"/>
            <w:tcBorders/>
            <w:tcW w:w="2448" w:type="dxa"/>
            <w:vAlign w:val="center"/>
          </w:tcPr>
          <w:p w14:paraId="6A9AC22C" w14:textId="7C79D15F">
            <w:pPr>
              <w:pBdr/>
              <w:spacing w:after="40" w:before="40"/>
              <w:ind/>
              <w:jc w:val="center"/>
              <w:rPr/>
            </w:pPr>
            <w:r>
              <w:rPr>
                <w:rFonts w:cstheme="minorHAnsi"/>
                <w:szCs w:val="24"/>
              </w:rPr>
              <w:t xml:space="preserve">Mental Health Provider availability</w:t>
            </w:r>
            <w:r/>
          </w:p>
        </w:tc>
      </w:tr>
      <w:tr>
        <w:trPr>
          <w:trHeight w:val="2870"/>
        </w:trPr>
        <w:tc>
          <w:tcPr>
            <w:gridSpan w:val="6"/>
            <w:shd w:val="clear" w:color="auto" w:fill="fbe2d0" w:themeFill="accent4" w:themeFillTint="33"/>
            <w:tcBorders/>
            <w:tcW w:w="14175" w:type="dxa"/>
            <w:vAlign w:val="center"/>
          </w:tcPr>
          <w:p w14:paraId="7CE79598" w14:textId="77777777">
            <w:pPr>
              <w:pBdr/>
              <w:spacing/>
              <w:ind/>
              <w:rPr>
                <w:rFonts w:cstheme="minorHAnsi"/>
                <w:b/>
                <w:szCs w:val="24"/>
              </w:rPr>
            </w:pPr>
            <w:r>
              <w:rPr>
                <w:rFonts w:cstheme="minorHAnsi"/>
                <w:b/>
                <w:szCs w:val="24"/>
              </w:rPr>
              <w:t xml:space="preserve">Needs Being Addressed by this Strategy:</w:t>
            </w:r>
            <w:r>
              <w:rPr>
                <w:rFonts w:cstheme="minorHAnsi"/>
                <w:b/>
                <w:szCs w:val="24"/>
              </w:rPr>
            </w:r>
          </w:p>
          <w:p w14:paraId="3584C94C" w14:textId="77777777">
            <w:pPr>
              <w:pStyle w:val="1145"/>
              <w:numPr>
                <w:ilvl w:val="0"/>
                <w:numId w:val="15"/>
              </w:numPr>
              <w:pBdr/>
              <w:spacing/>
              <w:ind/>
              <w:rPr>
                <w:rFonts w:cstheme="minorHAnsi"/>
                <w:bCs/>
                <w:szCs w:val="24"/>
              </w:rPr>
            </w:pPr>
            <w:r>
              <w:t xml:space="preserve">1. 62% of respondents rated the general health of the community as “Unhealthy.”</w:t>
            </w:r>
            <w:r>
              <w:rPr>
                <w:rFonts w:cstheme="minorHAnsi"/>
                <w:bCs/>
                <w:szCs w:val="24"/>
              </w:rPr>
            </w:r>
          </w:p>
          <w:p w14:paraId="422B4958" w14:textId="77777777">
            <w:pPr>
              <w:pStyle w:val="1145"/>
              <w:numPr>
                <w:ilvl w:val="0"/>
                <w:numId w:val="15"/>
              </w:numPr>
              <w:pBdr/>
              <w:spacing/>
              <w:ind/>
              <w:rPr>
                <w:rFonts w:cstheme="minorHAnsi"/>
                <w:bCs/>
                <w:szCs w:val="24"/>
              </w:rPr>
            </w:pPr>
            <w:r>
              <w:t xml:space="preserve">2. The top three most serious health concerns in the community are “Alcohol/substance abuse,” “Child abuse/neglect,” and “Mental health issues.”</w:t>
            </w:r>
            <w:r>
              <w:rPr>
                <w:rFonts w:cstheme="minorHAnsi"/>
                <w:bCs/>
                <w:szCs w:val="24"/>
              </w:rPr>
            </w:r>
          </w:p>
          <w:p w14:paraId="11A97B8E" w14:textId="77777777">
            <w:pPr>
              <w:pStyle w:val="1145"/>
              <w:numPr>
                <w:ilvl w:val="0"/>
                <w:numId w:val="15"/>
              </w:numPr>
              <w:pBdr/>
              <w:spacing/>
              <w:ind/>
              <w:rPr>
                <w:rFonts w:cstheme="minorHAnsi"/>
                <w:bCs/>
                <w:szCs w:val="24"/>
              </w:rPr>
            </w:pPr>
            <w:r>
              <w:rPr>
                <w:rFonts w:cstheme="minorHAnsi"/>
                <w:bCs/>
                <w:szCs w:val="24"/>
              </w:rPr>
              <w:t xml:space="preserve">3. “Healthy behaviors and lifestyles” and “Access to healthcare and other services” are the two most important things for a healthy community. </w:t>
            </w:r>
            <w:r>
              <w:rPr>
                <w:rFonts w:cstheme="minorHAnsi"/>
                <w:bCs/>
                <w:szCs w:val="24"/>
              </w:rPr>
            </w:r>
          </w:p>
          <w:p w14:paraId="2DF5AE1C" w14:textId="77777777">
            <w:pPr>
              <w:pStyle w:val="1145"/>
              <w:numPr>
                <w:ilvl w:val="0"/>
                <w:numId w:val="15"/>
              </w:numPr>
              <w:pBdr/>
              <w:spacing/>
              <w:ind/>
              <w:rPr>
                <w:rFonts w:cstheme="minorHAnsi"/>
                <w:bCs/>
                <w:szCs w:val="24"/>
              </w:rPr>
            </w:pPr>
            <w:r>
              <w:rPr>
                <w:rFonts w:cstheme="minorHAnsi"/>
                <w:bCs/>
                <w:szCs w:val="24"/>
              </w:rPr>
              <w:t xml:space="preserve">4. Only 7% of respondents had utilized mental health care resources in the last year. </w:t>
            </w:r>
            <w:r>
              <w:rPr>
                <w:rFonts w:cstheme="minorHAnsi"/>
                <w:bCs/>
                <w:szCs w:val="24"/>
              </w:rPr>
            </w:r>
          </w:p>
          <w:p w14:paraId="461EF8DD" w14:textId="77777777">
            <w:pPr>
              <w:pStyle w:val="1145"/>
              <w:numPr>
                <w:ilvl w:val="0"/>
                <w:numId w:val="15"/>
              </w:numPr>
              <w:pBdr/>
              <w:spacing/>
              <w:ind/>
              <w:rPr>
                <w:rFonts w:cstheme="minorHAnsi"/>
                <w:bCs/>
                <w:szCs w:val="24"/>
              </w:rPr>
            </w:pPr>
            <w:r>
              <w:rPr>
                <w:rFonts w:cstheme="minorHAnsi"/>
                <w:bCs/>
                <w:szCs w:val="24"/>
              </w:rPr>
              <w:t xml:space="preserve">7. Many respondents indicated that they would utilize mental health services if they were available locally. </w:t>
            </w:r>
            <w:r>
              <w:rPr>
                <w:rFonts w:cstheme="minorHAnsi"/>
                <w:bCs/>
                <w:szCs w:val="24"/>
              </w:rPr>
            </w:r>
          </w:p>
          <w:p w14:paraId="5B62EC2B" w14:textId="435EF99E">
            <w:pPr>
              <w:pStyle w:val="1145"/>
              <w:numPr>
                <w:ilvl w:val="0"/>
                <w:numId w:val="15"/>
              </w:numPr>
              <w:pBdr/>
              <w:spacing/>
              <w:ind/>
              <w:rPr>
                <w:rFonts w:cstheme="minorHAnsi"/>
                <w:bCs/>
                <w:szCs w:val="24"/>
              </w:rPr>
            </w:pPr>
            <w:r>
              <w:rPr>
                <w:rFonts w:cstheme="minorHAnsi"/>
                <w:bCs/>
                <w:szCs w:val="24"/>
              </w:rPr>
              <w:t xml:space="preserve">13. 32% of respondents indicated they have experienced period of depression. </w:t>
            </w:r>
            <w:r>
              <w:rPr>
                <w:rFonts w:cstheme="minorHAnsi"/>
                <w:bCs/>
                <w:szCs w:val="24"/>
              </w:rPr>
            </w:r>
          </w:p>
        </w:tc>
      </w:tr>
      <w:tr>
        <w:trPr>
          <w:trHeight w:val="890"/>
        </w:trPr>
        <w:tc>
          <w:tcPr>
            <w:gridSpan w:val="6"/>
            <w:shd w:val="clear" w:color="auto" w:fill="fbe2d0" w:themeFill="accent4" w:themeFillTint="33"/>
            <w:tcBorders/>
            <w:tcW w:w="14175" w:type="dxa"/>
            <w:vAlign w:val="center"/>
          </w:tcPr>
          <w:p w14:paraId="2A6C5414" w14:textId="77777777">
            <w:pPr>
              <w:pBdr/>
              <w:spacing w:line="276" w:lineRule="auto"/>
              <w:ind/>
              <w:rPr>
                <w:rFonts w:cstheme="minorHAnsi"/>
                <w:b/>
                <w:szCs w:val="24"/>
              </w:rPr>
            </w:pPr>
            <w:r>
              <w:rPr>
                <w:b/>
                <w:bCs/>
              </w:rPr>
              <w:t xml:space="preserve">Anticipated Impact(s) of these Activities:</w:t>
            </w:r>
            <w:r>
              <w:rPr>
                <w:rFonts w:cstheme="minorHAnsi"/>
                <w:b/>
                <w:szCs w:val="24"/>
              </w:rPr>
            </w:r>
          </w:p>
          <w:p w14:paraId="6984E8B6" w14:textId="7B13544B">
            <w:pPr>
              <w:pStyle w:val="1145"/>
              <w:numPr>
                <w:ilvl w:val="0"/>
                <w:numId w:val="2"/>
              </w:numPr>
              <w:pBdr/>
              <w:spacing w:line="276" w:lineRule="auto"/>
              <w:ind/>
              <w:rPr/>
            </w:pPr>
            <w:r>
              <w:t xml:space="preserve">Increased access to mental and behavioral health care</w:t>
            </w:r>
            <w:r/>
          </w:p>
          <w:p w14:paraId="046DBE6B" w14:textId="77777777">
            <w:pPr>
              <w:pStyle w:val="1145"/>
              <w:numPr>
                <w:ilvl w:val="0"/>
                <w:numId w:val="2"/>
              </w:numPr>
              <w:pBdr/>
              <w:spacing w:line="276" w:lineRule="auto"/>
              <w:ind/>
              <w:rPr/>
            </w:pPr>
            <w:r>
              <w:t xml:space="preserve">Improved health outcomes</w:t>
            </w:r>
            <w:r/>
          </w:p>
          <w:p w14:paraId="4EBFE2B7" w14:textId="0FB23AB0">
            <w:pPr>
              <w:pStyle w:val="1145"/>
              <w:numPr>
                <w:ilvl w:val="0"/>
                <w:numId w:val="2"/>
              </w:numPr>
              <w:pBdr/>
              <w:spacing w:line="276" w:lineRule="auto"/>
              <w:ind/>
              <w:rPr/>
            </w:pPr>
            <w:r>
              <w:t xml:space="preserve">Improved community capacity and collaboration</w:t>
            </w:r>
            <w:r/>
          </w:p>
          <w:p w14:paraId="2A9E59AF" w14:textId="42328949">
            <w:pPr>
              <w:pStyle w:val="1145"/>
              <w:numPr>
                <w:ilvl w:val="0"/>
                <w:numId w:val="2"/>
              </w:numPr>
              <w:pBdr/>
              <w:spacing w:line="276" w:lineRule="auto"/>
              <w:ind/>
              <w:rPr/>
            </w:pPr>
            <w:r>
              <w:t xml:space="preserve">Improved resources for alcohol and substance abuse</w:t>
            </w:r>
            <w:r/>
          </w:p>
        </w:tc>
      </w:tr>
      <w:tr>
        <w:trPr>
          <w:trHeight w:val="432"/>
        </w:trPr>
        <w:tc>
          <w:tcPr>
            <w:gridSpan w:val="6"/>
            <w:shd w:val="clear" w:color="auto" w:fill="fbe2d0" w:themeFill="accent4" w:themeFillTint="33"/>
            <w:tcBorders/>
            <w:tcW w:w="14175" w:type="dxa"/>
            <w:vAlign w:val="center"/>
          </w:tcPr>
          <w:p w14:paraId="04EB1894" w14:textId="77777777">
            <w:pPr>
              <w:pBdr/>
              <w:spacing w:line="276" w:lineRule="auto"/>
              <w:ind/>
              <w:rPr>
                <w:b/>
                <w:bCs/>
              </w:rPr>
            </w:pPr>
            <w:r>
              <w:rPr>
                <w:b/>
                <w:bCs/>
              </w:rPr>
              <w:t xml:space="preserve">Plan to Evaluate Anticipated Impact(s) of these Activities:</w:t>
            </w:r>
            <w:r>
              <w:rPr>
                <w:b/>
                <w:bCs/>
              </w:rPr>
            </w:r>
          </w:p>
          <w:p w14:paraId="2138901B" w14:textId="77777777">
            <w:pPr>
              <w:pStyle w:val="1145"/>
              <w:numPr>
                <w:ilvl w:val="0"/>
                <w:numId w:val="2"/>
              </w:numPr>
              <w:pBdr/>
              <w:spacing w:line="276" w:lineRule="auto"/>
              <w:ind/>
              <w:rPr/>
            </w:pPr>
            <w:r>
              <w:t xml:space="preserve">Document collaboration with community organizations</w:t>
            </w:r>
            <w:r/>
          </w:p>
          <w:p w14:paraId="66DA6EF2" w14:textId="77777777">
            <w:pPr>
              <w:pStyle w:val="1145"/>
              <w:numPr>
                <w:ilvl w:val="0"/>
                <w:numId w:val="2"/>
              </w:numPr>
              <w:pBdr/>
              <w:spacing w:line="276" w:lineRule="auto"/>
              <w:ind/>
              <w:rPr/>
            </w:pPr>
            <w:r>
              <w:t xml:space="preserve">Document participation in building local crisis response plan</w:t>
            </w:r>
            <w:r/>
          </w:p>
          <w:p w14:paraId="3AD651EB" w14:textId="0847CA01">
            <w:pPr>
              <w:pStyle w:val="1145"/>
              <w:numPr>
                <w:ilvl w:val="0"/>
                <w:numId w:val="2"/>
              </w:numPr>
              <w:pBdr/>
              <w:spacing w:line="276" w:lineRule="auto"/>
              <w:ind/>
              <w:rPr/>
            </w:pPr>
            <w:r>
              <w:t xml:space="preserve">Track support of and involvement in Tribal Crisis Coalition’s Strategic Plan</w:t>
            </w:r>
            <w:r/>
          </w:p>
        </w:tc>
      </w:tr>
      <w:tr>
        <w:trPr>
          <w:trHeight w:val="432"/>
        </w:trPr>
        <w:tc>
          <w:tcPr>
            <w:gridSpan w:val="6"/>
            <w:shd w:val="clear" w:color="auto" w:fill="fbe2d0" w:themeFill="accent4" w:themeFillTint="33"/>
            <w:tcBorders/>
            <w:tcW w:w="14175" w:type="dxa"/>
            <w:vAlign w:val="center"/>
          </w:tcPr>
          <w:p w14:paraId="7615D276" w14:textId="49AAF856">
            <w:pPr>
              <w:pBdr/>
              <w:spacing/>
              <w:ind/>
              <w:rPr/>
            </w:pPr>
            <w:r>
              <w:rPr>
                <w:b/>
                <w:bCs/>
              </w:rPr>
              <w:t xml:space="preserve">Measure of Success:</w:t>
            </w:r>
            <w:r>
              <w:t xml:space="preserve"> </w:t>
            </w:r>
            <w:r>
              <w:t xml:space="preserve">Support of Tribal Crisis Coalition sustained</w:t>
            </w:r>
            <w:r>
              <w:t xml:space="preserve">; crisis response system and resources augmented. </w:t>
            </w:r>
            <w:r/>
          </w:p>
        </w:tc>
      </w:tr>
    </w:tbl>
    <w:p w14:paraId="61D655E4" w14:textId="655D197D">
      <w:pPr>
        <w:pBdr/>
        <w:spacing w:after="200" w:line="276" w:lineRule="auto"/>
        <w:ind/>
        <w:rPr>
          <w:rFonts w:eastAsiaTheme="majorEastAsia" w:cstheme="minorHAnsi"/>
          <w:b/>
          <w:bCs/>
          <w:color w:val="c49a00" w:themeColor="accent1" w:themeShade="BF"/>
          <w:sz w:val="28"/>
          <w:szCs w:val="28"/>
        </w:rPr>
      </w:pPr>
      <w:r>
        <w:rPr>
          <w:rFonts w:eastAsiaTheme="majorEastAsia" w:cstheme="minorHAnsi"/>
          <w:b/>
          <w:bCs/>
          <w:color w:val="c49a00" w:themeColor="accent1" w:themeShade="BF"/>
          <w:sz w:val="28"/>
          <w:szCs w:val="28"/>
        </w:rPr>
      </w:r>
      <w:r>
        <w:rPr>
          <w:rFonts w:eastAsiaTheme="majorEastAsia" w:cstheme="minorHAnsi"/>
          <w:b/>
          <w:bCs/>
          <w:color w:val="c49a00" w:themeColor="accent1" w:themeShade="BF"/>
          <w:sz w:val="28"/>
          <w:szCs w:val="28"/>
        </w:rPr>
      </w:r>
    </w:p>
    <w:p w14:paraId="4F431D54" w14:textId="77777777">
      <w:pPr>
        <w:pBdr/>
        <w:spacing w:after="200" w:line="276" w:lineRule="auto"/>
        <w:ind/>
        <w:rPr>
          <w:rFonts w:eastAsiaTheme="majorEastAsia" w:cstheme="minorHAnsi"/>
          <w:b/>
          <w:bCs/>
          <w:color w:val="c49a00" w:themeColor="accent1" w:themeShade="BF"/>
          <w:sz w:val="28"/>
          <w:szCs w:val="28"/>
        </w:rPr>
      </w:pPr>
      <w:r>
        <w:rPr>
          <w:rFonts w:eastAsiaTheme="majorEastAsia" w:cstheme="minorHAnsi"/>
          <w:b/>
          <w:bCs/>
          <w:color w:val="c49a00" w:themeColor="accent1" w:themeShade="BF"/>
          <w:sz w:val="28"/>
          <w:szCs w:val="28"/>
        </w:rPr>
      </w:r>
      <w:r>
        <w:rPr>
          <w:rFonts w:eastAsiaTheme="majorEastAsia" w:cstheme="minorHAnsi"/>
          <w:b/>
          <w:bCs/>
          <w:color w:val="c49a00" w:themeColor="accent1" w:themeShade="BF"/>
          <w:sz w:val="28"/>
          <w:szCs w:val="28"/>
        </w:rPr>
      </w:r>
    </w:p>
    <w:tbl>
      <w:tblPr>
        <w:tblStyle w:val="1138"/>
        <w:tblInd w:w="-459" w:type="dxa"/>
        <w:tblW w:w="14175" w:type="dxa"/>
        <w:tblBorders>
          <w:top w:val="single" w:color="ec7016" w:themeColor="accent4" w:sz="4" w:space="0"/>
          <w:left w:val="single" w:color="ec7016" w:themeColor="accent4" w:sz="4" w:space="0"/>
          <w:bottom w:val="single" w:color="ec7016" w:themeColor="accent4" w:sz="4" w:space="0"/>
          <w:right w:val="single" w:color="ec7016" w:themeColor="accent4" w:sz="4" w:space="0"/>
          <w:insideH w:val="single" w:color="ec7016" w:themeColor="accent4" w:sz="4" w:space="0"/>
          <w:insideV w:val="single" w:color="ec7016" w:themeColor="accent4" w:sz="4" w:space="0"/>
        </w:tblBorders>
        <w:tblLayout w:type="fixed"/>
        <w:tblLook w:val="04A0" w:firstRow="1" w:lastRow="0" w:firstColumn="1" w:lastColumn="0" w:noHBand="0" w:noVBand="1"/>
      </w:tblPr>
      <w:tblGrid>
        <w:gridCol w:w="4707"/>
        <w:gridCol w:w="1710"/>
        <w:gridCol w:w="1350"/>
        <w:gridCol w:w="1890"/>
        <w:gridCol w:w="2070"/>
        <w:gridCol w:w="2448"/>
      </w:tblGrid>
      <w:tr>
        <w:trPr>
          <w:trHeight w:val="611"/>
        </w:trPr>
        <w:tc>
          <w:tcPr>
            <w:gridSpan w:val="6"/>
            <w:shd w:val="clear" w:color="auto" w:fill="f3a873" w:themeFill="accent4" w:themeFillTint="99"/>
            <w:tcBorders/>
            <w:tcW w:w="14175" w:type="dxa"/>
            <w:vAlign w:val="center"/>
          </w:tcPr>
          <w:p w14:paraId="1200E468" w14:textId="77777777">
            <w:pPr>
              <w:pBdr/>
              <w:spacing/>
              <w:ind/>
              <w:rPr>
                <w:rFonts w:cstheme="minorHAnsi"/>
                <w:b/>
                <w:szCs w:val="24"/>
              </w:rPr>
            </w:pPr>
            <w:r>
              <w:rPr>
                <w:rFonts w:cstheme="minorHAnsi"/>
                <w:b/>
                <w:szCs w:val="24"/>
              </w:rPr>
              <w:t xml:space="preserve">Goal 3: Advance community health throughout Roosevelt County. </w:t>
            </w:r>
            <w:r>
              <w:rPr>
                <w:rFonts w:cstheme="minorHAnsi"/>
                <w:b/>
                <w:szCs w:val="24"/>
              </w:rPr>
            </w:r>
          </w:p>
        </w:tc>
      </w:tr>
      <w:tr>
        <w:trPr>
          <w:trHeight w:val="530"/>
        </w:trPr>
        <w:tc>
          <w:tcPr>
            <w:gridSpan w:val="6"/>
            <w:shd w:val="clear" w:color="auto" w:fill="f3a873" w:themeFill="accent4" w:themeFillTint="99"/>
            <w:tcBorders/>
            <w:tcW w:w="14175" w:type="dxa"/>
            <w:vAlign w:val="center"/>
          </w:tcPr>
          <w:p w14:paraId="1239909D" w14:textId="2937F5AF">
            <w:pPr>
              <w:pBdr/>
              <w:spacing/>
              <w:ind/>
              <w:rPr>
                <w:rFonts w:cstheme="minorHAnsi"/>
                <w:szCs w:val="24"/>
              </w:rPr>
            </w:pPr>
            <w:r>
              <w:rPr>
                <w:rFonts w:cstheme="minorHAnsi"/>
                <w:b/>
                <w:szCs w:val="24"/>
              </w:rPr>
              <w:t xml:space="preserve">Strategy 3.2:</w:t>
            </w:r>
            <w:r>
              <w:rPr>
                <w:rFonts w:cstheme="minorHAnsi"/>
                <w:szCs w:val="24"/>
              </w:rPr>
              <w:t xml:space="preserve"> </w:t>
            </w:r>
            <w:r>
              <w:rPr>
                <w:rFonts w:cstheme="minorHAnsi"/>
                <w:bCs/>
              </w:rPr>
              <w:t xml:space="preserve">Promote healthy behaviors and lifestyles through education and awareness.</w:t>
            </w:r>
            <w:r>
              <w:rPr>
                <w:rFonts w:cstheme="minorHAnsi"/>
                <w:szCs w:val="24"/>
              </w:rPr>
            </w:r>
          </w:p>
        </w:tc>
      </w:tr>
      <w:tr>
        <w:trPr>
          <w:trHeight w:val="432"/>
        </w:trPr>
        <w:tc>
          <w:tcPr>
            <w:shd w:val="clear" w:color="auto" w:fill="b2530e" w:themeFill="accent4" w:themeFillShade="BF"/>
            <w:tcBorders/>
            <w:tcW w:w="4707" w:type="dxa"/>
            <w:vAlign w:val="center"/>
          </w:tcPr>
          <w:p w14:paraId="14F1E614" w14:textId="77777777">
            <w:pPr>
              <w:pBdr/>
              <w:spacing/>
              <w:ind/>
              <w:jc w:val="center"/>
              <w:rPr>
                <w:rFonts w:cstheme="minorHAnsi"/>
                <w:b/>
                <w:color w:val="ffffff" w:themeColor="background1"/>
                <w:szCs w:val="24"/>
              </w:rPr>
            </w:pPr>
            <w:r>
              <w:rPr>
                <w:rFonts w:cstheme="minorHAnsi"/>
                <w:b/>
                <w:color w:val="ffffff" w:themeColor="background1"/>
                <w:szCs w:val="24"/>
              </w:rPr>
              <w:t xml:space="preserve">Activities</w:t>
            </w:r>
            <w:r>
              <w:rPr>
                <w:rFonts w:cstheme="minorHAnsi"/>
                <w:b/>
                <w:color w:val="ffffff" w:themeColor="background1"/>
                <w:szCs w:val="24"/>
              </w:rPr>
            </w:r>
          </w:p>
        </w:tc>
        <w:tc>
          <w:tcPr>
            <w:shd w:val="clear" w:color="auto" w:fill="b2530e" w:themeFill="accent4" w:themeFillShade="BF"/>
            <w:tcBorders/>
            <w:tcW w:w="1710" w:type="dxa"/>
            <w:vAlign w:val="center"/>
          </w:tcPr>
          <w:p w14:paraId="1F143EF2" w14:textId="77777777">
            <w:pPr>
              <w:pBdr/>
              <w:spacing/>
              <w:ind/>
              <w:jc w:val="center"/>
              <w:rPr>
                <w:rFonts w:cstheme="minorHAnsi"/>
                <w:b/>
                <w:color w:val="ffffff" w:themeColor="background1"/>
                <w:szCs w:val="24"/>
              </w:rPr>
            </w:pPr>
            <w:r>
              <w:rPr>
                <w:rFonts w:cstheme="minorHAnsi"/>
                <w:b/>
                <w:color w:val="ffffff" w:themeColor="background1"/>
                <w:szCs w:val="24"/>
              </w:rPr>
              <w:t xml:space="preserve">Responsibility</w:t>
            </w:r>
            <w:r>
              <w:rPr>
                <w:rFonts w:cstheme="minorHAnsi"/>
                <w:b/>
                <w:color w:val="ffffff" w:themeColor="background1"/>
                <w:szCs w:val="24"/>
              </w:rPr>
            </w:r>
          </w:p>
        </w:tc>
        <w:tc>
          <w:tcPr>
            <w:shd w:val="clear" w:color="auto" w:fill="b2530e" w:themeFill="accent4" w:themeFillShade="BF"/>
            <w:tcBorders/>
            <w:tcW w:w="1350" w:type="dxa"/>
            <w:vAlign w:val="center"/>
          </w:tcPr>
          <w:p w14:paraId="66BF8DCC" w14:textId="77777777">
            <w:pPr>
              <w:pBdr/>
              <w:spacing/>
              <w:ind/>
              <w:jc w:val="center"/>
              <w:rPr>
                <w:rFonts w:cstheme="minorHAnsi"/>
                <w:b/>
                <w:color w:val="ffffff" w:themeColor="background1"/>
                <w:szCs w:val="24"/>
              </w:rPr>
            </w:pPr>
            <w:r>
              <w:rPr>
                <w:rFonts w:cstheme="minorHAnsi"/>
                <w:b/>
                <w:color w:val="ffffff" w:themeColor="background1"/>
                <w:szCs w:val="24"/>
              </w:rPr>
              <w:t xml:space="preserve">Timeline</w:t>
            </w:r>
            <w:r>
              <w:rPr>
                <w:rFonts w:cstheme="minorHAnsi"/>
                <w:b/>
                <w:color w:val="ffffff" w:themeColor="background1"/>
                <w:szCs w:val="24"/>
              </w:rPr>
            </w:r>
          </w:p>
        </w:tc>
        <w:tc>
          <w:tcPr>
            <w:shd w:val="clear" w:color="auto" w:fill="b2530e" w:themeFill="accent4" w:themeFillShade="BF"/>
            <w:tcBorders/>
            <w:tcW w:w="1890" w:type="dxa"/>
            <w:vAlign w:val="center"/>
          </w:tcPr>
          <w:p w14:paraId="5DAFBAAD" w14:textId="77777777">
            <w:pPr>
              <w:pBdr/>
              <w:spacing/>
              <w:ind/>
              <w:jc w:val="center"/>
              <w:rPr>
                <w:rFonts w:cstheme="minorHAnsi"/>
                <w:b/>
                <w:color w:val="ffffff" w:themeColor="background1"/>
                <w:szCs w:val="24"/>
              </w:rPr>
            </w:pPr>
            <w:r>
              <w:rPr>
                <w:rFonts w:cstheme="minorHAnsi"/>
                <w:b/>
                <w:color w:val="ffffff" w:themeColor="background1"/>
                <w:szCs w:val="24"/>
              </w:rPr>
              <w:t xml:space="preserve">Final Approval</w:t>
            </w:r>
            <w:r>
              <w:rPr>
                <w:rFonts w:cstheme="minorHAnsi"/>
                <w:b/>
                <w:color w:val="ffffff" w:themeColor="background1"/>
                <w:szCs w:val="24"/>
              </w:rPr>
            </w:r>
          </w:p>
        </w:tc>
        <w:tc>
          <w:tcPr>
            <w:shd w:val="clear" w:color="auto" w:fill="b2530e" w:themeFill="accent4" w:themeFillShade="BF"/>
            <w:tcBorders/>
            <w:tcW w:w="2070" w:type="dxa"/>
            <w:vAlign w:val="center"/>
          </w:tcPr>
          <w:p w14:paraId="39996A72" w14:textId="77777777">
            <w:pPr>
              <w:pBdr/>
              <w:spacing/>
              <w:ind/>
              <w:jc w:val="center"/>
              <w:rPr>
                <w:rFonts w:cstheme="minorHAnsi"/>
                <w:b/>
                <w:color w:val="ffffff" w:themeColor="background1"/>
                <w:szCs w:val="24"/>
              </w:rPr>
            </w:pPr>
            <w:r>
              <w:rPr>
                <w:rFonts w:cstheme="minorHAnsi"/>
                <w:b/>
                <w:color w:val="ffffff" w:themeColor="background1"/>
                <w:szCs w:val="24"/>
              </w:rPr>
              <w:t xml:space="preserve">Partners</w:t>
            </w:r>
            <w:r>
              <w:rPr>
                <w:rFonts w:cstheme="minorHAnsi"/>
                <w:b/>
                <w:color w:val="ffffff" w:themeColor="background1"/>
                <w:szCs w:val="24"/>
              </w:rPr>
            </w:r>
          </w:p>
        </w:tc>
        <w:tc>
          <w:tcPr>
            <w:shd w:val="clear" w:color="auto" w:fill="b2530e" w:themeFill="accent4" w:themeFillShade="BF"/>
            <w:tcBorders/>
            <w:tcW w:w="2448" w:type="dxa"/>
            <w:vAlign w:val="center"/>
          </w:tcPr>
          <w:p w14:paraId="4D956AF5" w14:textId="77777777">
            <w:pPr>
              <w:pBdr/>
              <w:spacing/>
              <w:ind/>
              <w:jc w:val="center"/>
              <w:rPr>
                <w:rFonts w:cstheme="minorHAnsi"/>
                <w:b/>
                <w:color w:val="ffffff" w:themeColor="background1"/>
                <w:szCs w:val="24"/>
              </w:rPr>
            </w:pPr>
            <w:r>
              <w:rPr>
                <w:rFonts w:cstheme="minorHAnsi"/>
                <w:b/>
                <w:color w:val="ffffff" w:themeColor="background1"/>
                <w:szCs w:val="24"/>
              </w:rPr>
              <w:t xml:space="preserve">Potential Barriers </w:t>
            </w:r>
            <w:r>
              <w:rPr>
                <w:rFonts w:cstheme="minorHAnsi"/>
                <w:b/>
                <w:color w:val="ffffff" w:themeColor="background1"/>
                <w:szCs w:val="24"/>
              </w:rPr>
            </w:r>
          </w:p>
        </w:tc>
      </w:tr>
      <w:tr>
        <w:trPr>
          <w:trHeight w:val="1340"/>
        </w:trPr>
        <w:tc>
          <w:tcPr>
            <w:shd w:val="clear" w:color="auto" w:fill="fbe2d0" w:themeFill="accent4" w:themeFillTint="33"/>
            <w:tcBorders/>
            <w:tcW w:w="4707" w:type="dxa"/>
            <w:vAlign w:val="center"/>
          </w:tcPr>
          <w:p w14:paraId="2A2BB718" w14:textId="325C3A44">
            <w:pPr>
              <w:pBdr/>
              <w:spacing w:after="40" w:before="40"/>
              <w:ind/>
              <w:rPr>
                <w:rFonts w:cstheme="minorHAnsi"/>
                <w:szCs w:val="24"/>
              </w:rPr>
            </w:pPr>
            <w:r>
              <w:rPr>
                <w:rFonts w:cstheme="minorHAnsi"/>
                <w:szCs w:val="24"/>
              </w:rPr>
              <w:t xml:space="preserve">Continue to utilize NEMHS Facebook page to share advice and education around physical activity, nutrition, preventive checkups, and community events.</w:t>
            </w:r>
            <w:r>
              <w:rPr>
                <w:rFonts w:cstheme="minorHAnsi"/>
                <w:szCs w:val="24"/>
              </w:rPr>
            </w:r>
          </w:p>
        </w:tc>
        <w:tc>
          <w:tcPr>
            <w:shd w:val="clear" w:color="auto" w:fill="fbe2d0" w:themeFill="accent4" w:themeFillTint="33"/>
            <w:tcBorders/>
            <w:tcW w:w="1710" w:type="dxa"/>
            <w:vAlign w:val="center"/>
          </w:tcPr>
          <w:p w14:paraId="6A1BE8E9" w14:textId="21C9F4EF">
            <w:pPr>
              <w:pBdr/>
              <w:spacing w:after="40" w:before="40"/>
              <w:ind/>
              <w:jc w:val="center"/>
              <w:rPr>
                <w:rFonts w:cstheme="minorHAnsi"/>
                <w:szCs w:val="24"/>
              </w:rPr>
            </w:pPr>
            <w:r>
              <w:rPr>
                <w:rFonts w:cstheme="minorHAnsi"/>
                <w:szCs w:val="24"/>
              </w:rPr>
              <w:t xml:space="preserve">Kelli Hackley</w:t>
            </w:r>
            <w:r>
              <w:rPr>
                <w:rFonts w:cstheme="minorHAnsi"/>
                <w:szCs w:val="24"/>
              </w:rPr>
            </w:r>
          </w:p>
        </w:tc>
        <w:tc>
          <w:tcPr>
            <w:shd w:val="clear" w:color="auto" w:fill="fbe2d0" w:themeFill="accent4" w:themeFillTint="33"/>
            <w:tcBorders/>
            <w:tcW w:w="1350" w:type="dxa"/>
            <w:vAlign w:val="center"/>
          </w:tcPr>
          <w:p w14:paraId="4BC320A4" w14:textId="0D19715E">
            <w:pPr>
              <w:pBdr/>
              <w:spacing w:after="40" w:before="40"/>
              <w:ind/>
              <w:jc w:val="center"/>
              <w:rPr>
                <w:rFonts w:cstheme="minorHAnsi"/>
                <w:szCs w:val="24"/>
              </w:rPr>
            </w:pPr>
            <w:r>
              <w:rPr>
                <w:rFonts w:cstheme="minorHAnsi"/>
                <w:szCs w:val="24"/>
              </w:rPr>
              <w:t xml:space="preserve">On-going</w:t>
            </w:r>
            <w:r>
              <w:rPr>
                <w:rFonts w:cstheme="minorHAnsi"/>
                <w:szCs w:val="24"/>
              </w:rPr>
            </w:r>
          </w:p>
        </w:tc>
        <w:tc>
          <w:tcPr>
            <w:shd w:val="clear" w:color="auto" w:fill="fbe2d0" w:themeFill="accent4" w:themeFillTint="33"/>
            <w:tcBorders/>
            <w:tcW w:w="1890" w:type="dxa"/>
            <w:vAlign w:val="center"/>
          </w:tcPr>
          <w:p w14:paraId="17C7FFEF" w14:textId="2ADD1B4D">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be2d0" w:themeFill="accent4" w:themeFillTint="33"/>
            <w:tcBorders/>
            <w:tcW w:w="2070" w:type="dxa"/>
            <w:vAlign w:val="center"/>
          </w:tcPr>
          <w:p w14:paraId="6EB22AD2" w14:textId="241ED7AD">
            <w:pPr>
              <w:pBdr/>
              <w:spacing w:after="40" w:before="40"/>
              <w:ind/>
              <w:jc w:val="center"/>
              <w:rPr>
                <w:rFonts w:cstheme="minorHAnsi"/>
                <w:szCs w:val="24"/>
              </w:rPr>
            </w:pPr>
            <w:r>
              <w:rPr>
                <w:rFonts w:cstheme="minorHAnsi"/>
                <w:szCs w:val="24"/>
              </w:rPr>
              <w:t xml:space="preserve">NEMHS Providers</w:t>
            </w:r>
            <w:r>
              <w:rPr>
                <w:rFonts w:cstheme="minorHAnsi"/>
                <w:szCs w:val="24"/>
              </w:rPr>
            </w:r>
          </w:p>
        </w:tc>
        <w:tc>
          <w:tcPr>
            <w:shd w:val="clear" w:color="auto" w:fill="fbe2d0" w:themeFill="accent4" w:themeFillTint="33"/>
            <w:tcBorders/>
            <w:tcW w:w="2448" w:type="dxa"/>
            <w:vAlign w:val="center"/>
          </w:tcPr>
          <w:p w14:paraId="4421A091" w14:textId="27735838">
            <w:pPr>
              <w:pBdr/>
              <w:spacing w:after="40" w:before="40"/>
              <w:ind/>
              <w:jc w:val="center"/>
              <w:rPr>
                <w:rFonts w:cstheme="minorHAnsi"/>
                <w:szCs w:val="24"/>
              </w:rPr>
            </w:pPr>
            <w:r>
              <w:rPr>
                <w:rFonts w:cstheme="minorHAnsi"/>
                <w:szCs w:val="24"/>
              </w:rPr>
              <w:t xml:space="preserve">None</w:t>
            </w:r>
            <w:r>
              <w:rPr>
                <w:rFonts w:cstheme="minorHAnsi"/>
                <w:szCs w:val="24"/>
              </w:rPr>
            </w:r>
          </w:p>
        </w:tc>
      </w:tr>
      <w:tr>
        <w:trPr>
          <w:trHeight w:val="1169"/>
        </w:trPr>
        <w:tc>
          <w:tcPr>
            <w:shd w:val="clear" w:color="auto" w:fill="fbe2d0" w:themeFill="accent4" w:themeFillTint="33"/>
            <w:tcBorders/>
            <w:tcW w:w="4707" w:type="dxa"/>
            <w:vAlign w:val="center"/>
          </w:tcPr>
          <w:p w14:paraId="49D8C181" w14:textId="7A7A0360">
            <w:pPr>
              <w:pBdr/>
              <w:spacing w:after="40" w:before="40"/>
              <w:ind/>
              <w:rPr>
                <w:rFonts w:cstheme="minorHAnsi"/>
                <w:szCs w:val="24"/>
              </w:rPr>
            </w:pPr>
            <w:r>
              <w:rPr>
                <w:rFonts w:cstheme="minorHAnsi"/>
                <w:szCs w:val="24"/>
              </w:rPr>
              <w:t xml:space="preserve">Explore feasibility of hosting or supporting activitie</w:t>
            </w:r>
            <w:r>
              <w:rPr>
                <w:rFonts w:cstheme="minorHAnsi"/>
              </w:rPr>
              <w:t xml:space="preserve">s</w:t>
            </w:r>
            <w:r>
              <w:rPr>
                <w:rFonts w:cstheme="minorHAnsi"/>
                <w:szCs w:val="24"/>
              </w:rPr>
              <w:t xml:space="preserve"> such as fun runs and health fairs. Exploring resuming Walk With A Doc. </w:t>
            </w:r>
            <w:r>
              <w:rPr>
                <w:rFonts w:cstheme="minorHAnsi"/>
                <w:szCs w:val="24"/>
              </w:rPr>
            </w:r>
          </w:p>
        </w:tc>
        <w:tc>
          <w:tcPr>
            <w:shd w:val="clear" w:color="auto" w:fill="fbe2d0" w:themeFill="accent4" w:themeFillTint="33"/>
            <w:tcBorders/>
            <w:tcW w:w="1710" w:type="dxa"/>
            <w:vAlign w:val="center"/>
          </w:tcPr>
          <w:p w14:paraId="1B8453CC" w14:textId="2BBA61AB">
            <w:pPr>
              <w:pBdr/>
              <w:spacing w:after="40" w:before="40"/>
              <w:ind/>
              <w:jc w:val="center"/>
              <w:rPr>
                <w:rFonts w:cstheme="minorHAnsi"/>
                <w:szCs w:val="24"/>
              </w:rPr>
            </w:pPr>
            <w:r>
              <w:rPr>
                <w:rFonts w:cstheme="minorHAnsi"/>
                <w:szCs w:val="24"/>
              </w:rPr>
              <w:t xml:space="preserve">Kelli Hackley</w:t>
            </w:r>
            <w:r>
              <w:rPr>
                <w:rFonts w:cstheme="minorHAnsi"/>
                <w:szCs w:val="24"/>
              </w:rPr>
              <w:t xml:space="preserve"> and Brandi Wilkinson</w:t>
            </w:r>
            <w:r>
              <w:rPr>
                <w:rFonts w:cstheme="minorHAnsi"/>
                <w:szCs w:val="24"/>
              </w:rPr>
            </w:r>
          </w:p>
        </w:tc>
        <w:tc>
          <w:tcPr>
            <w:shd w:val="clear" w:color="auto" w:fill="fbe2d0" w:themeFill="accent4" w:themeFillTint="33"/>
            <w:tcBorders/>
            <w:tcW w:w="1350" w:type="dxa"/>
            <w:vAlign w:val="center"/>
          </w:tcPr>
          <w:p w14:paraId="3E8F7C18" w14:textId="77DDD4F8">
            <w:pPr>
              <w:pBdr/>
              <w:spacing w:after="40" w:before="40"/>
              <w:ind/>
              <w:jc w:val="center"/>
              <w:rPr>
                <w:rFonts w:cstheme="minorHAnsi"/>
                <w:szCs w:val="24"/>
              </w:rPr>
            </w:pPr>
            <w:r>
              <w:rPr>
                <w:rFonts w:cstheme="minorHAnsi"/>
                <w:szCs w:val="24"/>
              </w:rPr>
              <w:t xml:space="preserve">On-going</w:t>
            </w:r>
            <w:r>
              <w:rPr>
                <w:rFonts w:cstheme="minorHAnsi"/>
                <w:szCs w:val="24"/>
              </w:rPr>
            </w:r>
          </w:p>
        </w:tc>
        <w:tc>
          <w:tcPr>
            <w:shd w:val="clear" w:color="auto" w:fill="fbe2d0" w:themeFill="accent4" w:themeFillTint="33"/>
            <w:tcBorders/>
            <w:tcW w:w="1890" w:type="dxa"/>
            <w:vAlign w:val="center"/>
          </w:tcPr>
          <w:p w14:paraId="21988D65" w14:textId="7E25C0CD">
            <w:pPr>
              <w:pBdr/>
              <w:spacing w:after="40" w:before="40"/>
              <w:ind/>
              <w:jc w:val="center"/>
              <w:rPr>
                <w:rFonts w:cstheme="minorHAnsi"/>
                <w:szCs w:val="24"/>
              </w:rPr>
            </w:pPr>
            <w:r>
              <w:rPr>
                <w:rFonts w:cstheme="minorHAnsi"/>
                <w:szCs w:val="24"/>
              </w:rPr>
              <w:t xml:space="preserve">Roger Fisher</w:t>
            </w:r>
            <w:r>
              <w:rPr>
                <w:rFonts w:cstheme="minorHAnsi"/>
                <w:szCs w:val="24"/>
              </w:rPr>
            </w:r>
          </w:p>
        </w:tc>
        <w:tc>
          <w:tcPr>
            <w:shd w:val="clear" w:color="auto" w:fill="fbe2d0" w:themeFill="accent4" w:themeFillTint="33"/>
            <w:tcBorders/>
            <w:tcW w:w="2070" w:type="dxa"/>
            <w:vAlign w:val="center"/>
          </w:tcPr>
          <w:p w14:paraId="74752C03" w14:textId="2362E3A9">
            <w:pPr>
              <w:pBdr/>
              <w:spacing w:after="40" w:before="40"/>
              <w:ind/>
              <w:jc w:val="center"/>
              <w:rPr>
                <w:rFonts w:cstheme="minorHAnsi"/>
                <w:szCs w:val="24"/>
              </w:rPr>
            </w:pPr>
            <w:r>
              <w:rPr>
                <w:rFonts w:cstheme="minorHAnsi"/>
                <w:szCs w:val="24"/>
              </w:rPr>
              <w:t xml:space="preserve">NEMHS Providers</w:t>
            </w:r>
            <w:r>
              <w:rPr>
                <w:rFonts w:cstheme="minorHAnsi"/>
                <w:szCs w:val="24"/>
              </w:rPr>
            </w:r>
          </w:p>
        </w:tc>
        <w:tc>
          <w:tcPr>
            <w:shd w:val="clear" w:color="auto" w:fill="fbe2d0" w:themeFill="accent4" w:themeFillTint="33"/>
            <w:tcBorders/>
            <w:tcW w:w="2448" w:type="dxa"/>
            <w:vAlign w:val="center"/>
          </w:tcPr>
          <w:p w14:paraId="4E266480" w14:textId="4756A091">
            <w:pPr>
              <w:pBdr/>
              <w:spacing w:after="40" w:before="40"/>
              <w:ind/>
              <w:jc w:val="center"/>
              <w:rPr/>
            </w:pPr>
            <w:r>
              <w:rPr>
                <w:rFonts w:cstheme="minorHAnsi"/>
                <w:szCs w:val="24"/>
              </w:rPr>
              <w:t xml:space="preserve">None</w:t>
            </w:r>
            <w:r/>
          </w:p>
        </w:tc>
      </w:tr>
      <w:tr>
        <w:trPr>
          <w:trHeight w:val="1439"/>
        </w:trPr>
        <w:tc>
          <w:tcPr>
            <w:gridSpan w:val="6"/>
            <w:shd w:val="clear" w:color="auto" w:fill="fbe2d0" w:themeFill="accent4" w:themeFillTint="33"/>
            <w:tcBorders/>
            <w:tcW w:w="14175" w:type="dxa"/>
            <w:vAlign w:val="center"/>
          </w:tcPr>
          <w:p w14:paraId="0A889D61" w14:textId="77777777">
            <w:pPr>
              <w:pBdr/>
              <w:spacing/>
              <w:ind/>
              <w:rPr>
                <w:rFonts w:cstheme="minorHAnsi"/>
                <w:b/>
                <w:szCs w:val="24"/>
              </w:rPr>
            </w:pPr>
            <w:r>
              <w:rPr>
                <w:rFonts w:cstheme="minorHAnsi"/>
                <w:b/>
                <w:szCs w:val="24"/>
              </w:rPr>
              <w:t xml:space="preserve">Needs Being Addressed by this Strategy:</w:t>
            </w:r>
            <w:r>
              <w:rPr>
                <w:rFonts w:cstheme="minorHAnsi"/>
                <w:b/>
                <w:szCs w:val="24"/>
              </w:rPr>
            </w:r>
          </w:p>
          <w:p w14:paraId="5F66E138" w14:textId="77777777">
            <w:pPr>
              <w:pStyle w:val="1145"/>
              <w:numPr>
                <w:ilvl w:val="0"/>
                <w:numId w:val="15"/>
              </w:numPr>
              <w:pBdr/>
              <w:spacing/>
              <w:ind/>
              <w:rPr>
                <w:rFonts w:cstheme="minorHAnsi"/>
                <w:bCs/>
                <w:szCs w:val="24"/>
              </w:rPr>
            </w:pPr>
            <w:r>
              <w:t xml:space="preserve">1. 62% of respondents rated the general health of the community as “Unhealthy.”</w:t>
            </w:r>
            <w:r>
              <w:rPr>
                <w:rFonts w:cstheme="minorHAnsi"/>
                <w:bCs/>
                <w:szCs w:val="24"/>
              </w:rPr>
            </w:r>
          </w:p>
          <w:p w14:paraId="554A5B94" w14:textId="77777777">
            <w:pPr>
              <w:pStyle w:val="1145"/>
              <w:numPr>
                <w:ilvl w:val="0"/>
                <w:numId w:val="15"/>
              </w:numPr>
              <w:pBdr/>
              <w:spacing/>
              <w:ind/>
              <w:rPr>
                <w:rFonts w:cstheme="minorHAnsi"/>
                <w:bCs/>
                <w:szCs w:val="24"/>
              </w:rPr>
            </w:pPr>
            <w:r>
              <w:rPr>
                <w:rFonts w:cstheme="minorHAnsi"/>
                <w:bCs/>
                <w:szCs w:val="24"/>
              </w:rPr>
              <w:t xml:space="preserve">3. “Healthy behaviors and lifestyles” and “Access to healthcare and other services” are the two most important things for a healthy community. </w:t>
            </w:r>
            <w:r>
              <w:rPr>
                <w:rFonts w:cstheme="minorHAnsi"/>
                <w:bCs/>
                <w:szCs w:val="24"/>
              </w:rPr>
            </w:r>
          </w:p>
          <w:p w14:paraId="360A4CC2" w14:textId="5340F31E">
            <w:pPr>
              <w:pStyle w:val="1145"/>
              <w:numPr>
                <w:ilvl w:val="0"/>
                <w:numId w:val="15"/>
              </w:numPr>
              <w:pBdr/>
              <w:spacing/>
              <w:ind/>
              <w:rPr>
                <w:rFonts w:cstheme="minorHAnsi"/>
                <w:bCs/>
                <w:szCs w:val="24"/>
              </w:rPr>
            </w:pPr>
            <w:r>
              <w:rPr>
                <w:rFonts w:cstheme="minorHAnsi"/>
                <w:bCs/>
                <w:szCs w:val="24"/>
              </w:rPr>
              <w:t xml:space="preserve">14. 30% of respondents reported infrequent physical activity. </w:t>
            </w:r>
            <w:r>
              <w:rPr>
                <w:rFonts w:cstheme="minorHAnsi"/>
                <w:bCs/>
                <w:szCs w:val="24"/>
              </w:rPr>
            </w:r>
          </w:p>
        </w:tc>
      </w:tr>
      <w:tr>
        <w:trPr>
          <w:trHeight w:val="890"/>
        </w:trPr>
        <w:tc>
          <w:tcPr>
            <w:gridSpan w:val="6"/>
            <w:shd w:val="clear" w:color="auto" w:fill="fbe2d0" w:themeFill="accent4" w:themeFillTint="33"/>
            <w:tcBorders/>
            <w:tcW w:w="14175" w:type="dxa"/>
            <w:vAlign w:val="center"/>
          </w:tcPr>
          <w:p w14:paraId="6DC14647" w14:textId="77777777">
            <w:pPr>
              <w:pBdr/>
              <w:spacing w:line="276" w:lineRule="auto"/>
              <w:ind/>
              <w:rPr>
                <w:rFonts w:cstheme="minorHAnsi"/>
                <w:b/>
                <w:szCs w:val="24"/>
              </w:rPr>
            </w:pPr>
            <w:r>
              <w:rPr>
                <w:b/>
                <w:bCs/>
              </w:rPr>
              <w:t xml:space="preserve">Anticipated Impact(s) of these Activities:</w:t>
            </w:r>
            <w:r>
              <w:rPr>
                <w:rFonts w:cstheme="minorHAnsi"/>
                <w:b/>
                <w:szCs w:val="24"/>
              </w:rPr>
            </w:r>
          </w:p>
          <w:p w14:paraId="2AB2033C" w14:textId="2A681376">
            <w:pPr>
              <w:pStyle w:val="1145"/>
              <w:numPr>
                <w:ilvl w:val="0"/>
                <w:numId w:val="2"/>
              </w:numPr>
              <w:pBdr/>
              <w:spacing w:line="276" w:lineRule="auto"/>
              <w:ind/>
              <w:rPr/>
            </w:pPr>
            <w:r>
              <w:t xml:space="preserve">Sustained or increased visibility in the community as trusted health resource</w:t>
            </w:r>
            <w:r/>
          </w:p>
          <w:p w14:paraId="3890EB33" w14:textId="77777777">
            <w:pPr>
              <w:pStyle w:val="1145"/>
              <w:numPr>
                <w:ilvl w:val="0"/>
                <w:numId w:val="2"/>
              </w:numPr>
              <w:pBdr/>
              <w:spacing w:line="276" w:lineRule="auto"/>
              <w:ind/>
              <w:rPr/>
            </w:pPr>
            <w:r>
              <w:t xml:space="preserve">Improved health outcomes</w:t>
            </w:r>
            <w:r/>
          </w:p>
          <w:p w14:paraId="01D1A993" w14:textId="77777777">
            <w:pPr>
              <w:pStyle w:val="1145"/>
              <w:numPr>
                <w:ilvl w:val="0"/>
                <w:numId w:val="2"/>
              </w:numPr>
              <w:pBdr/>
              <w:spacing w:line="276" w:lineRule="auto"/>
              <w:ind/>
              <w:rPr/>
            </w:pPr>
            <w:r>
              <w:t xml:space="preserve">Increased access to wellness and nutrition education</w:t>
            </w:r>
            <w:r/>
          </w:p>
          <w:p w14:paraId="6D0E6582" w14:textId="4F97CD86">
            <w:pPr>
              <w:pStyle w:val="1145"/>
              <w:numPr>
                <w:ilvl w:val="0"/>
                <w:numId w:val="2"/>
              </w:numPr>
              <w:pBdr/>
              <w:spacing w:line="276" w:lineRule="auto"/>
              <w:ind/>
              <w:rPr/>
            </w:pPr>
            <w:r>
              <w:t xml:space="preserve">Increased options for physical activity </w:t>
            </w:r>
            <w:r/>
          </w:p>
        </w:tc>
      </w:tr>
      <w:tr>
        <w:trPr>
          <w:trHeight w:val="432"/>
        </w:trPr>
        <w:tc>
          <w:tcPr>
            <w:gridSpan w:val="6"/>
            <w:shd w:val="clear" w:color="auto" w:fill="fbe2d0" w:themeFill="accent4" w:themeFillTint="33"/>
            <w:tcBorders/>
            <w:tcW w:w="14175" w:type="dxa"/>
            <w:vAlign w:val="center"/>
          </w:tcPr>
          <w:p w14:paraId="61894679" w14:textId="77777777">
            <w:pPr>
              <w:pBdr/>
              <w:spacing w:line="276" w:lineRule="auto"/>
              <w:ind/>
              <w:rPr>
                <w:b/>
                <w:bCs/>
              </w:rPr>
            </w:pPr>
            <w:r>
              <w:rPr>
                <w:b/>
                <w:bCs/>
              </w:rPr>
              <w:t xml:space="preserve">Plan to Evaluate Anticipated Impact(s) of these Activities:</w:t>
            </w:r>
            <w:r>
              <w:rPr>
                <w:b/>
                <w:bCs/>
              </w:rPr>
            </w:r>
          </w:p>
          <w:p w14:paraId="3E2343F4" w14:textId="20882246">
            <w:pPr>
              <w:pStyle w:val="1145"/>
              <w:numPr>
                <w:ilvl w:val="0"/>
                <w:numId w:val="2"/>
              </w:numPr>
              <w:pBdr/>
              <w:spacing w:line="276" w:lineRule="auto"/>
              <w:ind/>
              <w:rPr/>
            </w:pPr>
            <w:r>
              <w:t xml:space="preserve">Track content shared through NEMHS Facebook page around healthy behaviors and lifestyles</w:t>
            </w:r>
            <w:r/>
          </w:p>
          <w:p w14:paraId="32646FA9" w14:textId="77777777">
            <w:pPr>
              <w:pStyle w:val="1145"/>
              <w:numPr>
                <w:ilvl w:val="0"/>
                <w:numId w:val="2"/>
              </w:numPr>
              <w:pBdr/>
              <w:spacing w:line="276" w:lineRule="auto"/>
              <w:ind/>
              <w:rPr/>
            </w:pPr>
            <w:r>
              <w:t xml:space="preserve">Track engagement with content shared through NEMHS Facebook page</w:t>
            </w:r>
            <w:r/>
          </w:p>
          <w:p w14:paraId="6A61679F" w14:textId="735C7AB8">
            <w:pPr>
              <w:pStyle w:val="1145"/>
              <w:numPr>
                <w:ilvl w:val="0"/>
                <w:numId w:val="2"/>
              </w:numPr>
              <w:pBdr/>
              <w:spacing w:line="276" w:lineRule="auto"/>
              <w:ind/>
              <w:rPr/>
            </w:pPr>
            <w:r>
              <w:t xml:space="preserve">Document efforts to implement community wellness activities </w:t>
            </w:r>
            <w:r/>
          </w:p>
        </w:tc>
      </w:tr>
      <w:tr>
        <w:trPr>
          <w:trHeight w:val="432"/>
        </w:trPr>
        <w:tc>
          <w:tcPr>
            <w:gridSpan w:val="6"/>
            <w:shd w:val="clear" w:color="auto" w:fill="fbe2d0" w:themeFill="accent4" w:themeFillTint="33"/>
            <w:tcBorders/>
            <w:tcW w:w="14175" w:type="dxa"/>
            <w:vAlign w:val="center"/>
          </w:tcPr>
          <w:p w14:paraId="34A63B38" w14:textId="7401EDC1">
            <w:pPr>
              <w:pBdr/>
              <w:spacing/>
              <w:ind/>
              <w:rPr/>
            </w:pPr>
            <w:r>
              <w:rPr>
                <w:b/>
                <w:bCs/>
              </w:rPr>
              <w:t xml:space="preserve">Measure of Success:</w:t>
            </w:r>
            <w:r>
              <w:t xml:space="preserve"> </w:t>
            </w:r>
            <w:r>
              <w:t xml:space="preserve">Community wellness events put on by NEMHS.</w:t>
            </w:r>
            <w:r/>
          </w:p>
        </w:tc>
      </w:tr>
    </w:tbl>
    <w:p w14:paraId="05698DEC" w14:textId="44A9469A">
      <w:pPr>
        <w:pStyle w:val="1129"/>
        <w:pBdr/>
        <w:spacing/>
        <w:ind/>
        <w:jc w:val="center"/>
        <w:rPr>
          <w:rFonts w:asciiTheme="minorHAnsi" w:hAnsiTheme="minorHAnsi" w:cstheme="minorHAnsi"/>
        </w:rPr>
      </w:pPr>
      <w:r/>
      <w:bookmarkStart w:id="13" w:name="_Toc227308990"/>
      <w:r>
        <w:rPr>
          <w:rFonts w:asciiTheme="minorHAnsi" w:hAnsiTheme="minorHAnsi" w:cstheme="minorHAnsi"/>
        </w:rPr>
        <w:t xml:space="preserve">Needs Not Addressed and </w:t>
      </w:r>
      <w:r>
        <w:rPr>
          <w:rFonts w:asciiTheme="minorHAnsi" w:hAnsiTheme="minorHAnsi" w:cstheme="minorHAnsi"/>
        </w:rPr>
        <w:t xml:space="preserve">Justification</w:t>
      </w:r>
      <w:bookmarkEnd w:id="13"/>
      <w:r/>
      <w:r>
        <w:rPr>
          <w:rFonts w:asciiTheme="minorHAnsi" w:hAnsiTheme="minorHAnsi" w:cstheme="minorHAnsi"/>
        </w:rPr>
      </w:r>
    </w:p>
    <w:p w14:paraId="3D764C89" w14:textId="77777777">
      <w:pPr>
        <w:pBdr/>
        <w:spacing/>
        <w:ind/>
        <w:rPr>
          <w:rFonts w:cstheme="minorHAnsi"/>
          <w:szCs w:val="24"/>
        </w:rPr>
      </w:pPr>
      <w:r>
        <w:rPr>
          <w:rFonts w:cstheme="minorHAnsi"/>
          <w:szCs w:val="24"/>
        </w:rPr>
      </w:r>
      <w:r>
        <w:rPr>
          <w:rFonts w:cstheme="minorHAnsi"/>
          <w:szCs w:val="24"/>
        </w:rPr>
      </w:r>
    </w:p>
    <w:tbl>
      <w:tblPr>
        <w:tblStyle w:val="1138"/>
        <w:tblInd w:w="-613" w:type="dxa"/>
        <w:tblW w:w="14186" w:type="dxa"/>
        <w:tblBorders/>
        <w:tblLook w:val="04A0" w:firstRow="1" w:lastRow="0" w:firstColumn="1" w:lastColumn="0" w:noHBand="0" w:noVBand="1"/>
      </w:tblPr>
      <w:tblGrid>
        <w:gridCol w:w="6840"/>
        <w:gridCol w:w="7346"/>
      </w:tblGrid>
      <w:tr>
        <w:trPr>
          <w:trHeight w:val="576"/>
        </w:trPr>
        <w:tc>
          <w:tcPr>
            <w:shd w:val="clear" w:color="auto" w:fill="bfbfbf" w:themeFill="background1" w:themeFillShade="BF"/>
            <w:tcBorders/>
            <w:tcW w:w="6840" w:type="dxa"/>
            <w:vAlign w:val="center"/>
          </w:tcPr>
          <w:p w14:paraId="334F81E2" w14:textId="0E1351A8">
            <w:pPr>
              <w:pBdr/>
              <w:spacing/>
              <w:ind/>
              <w:jc w:val="center"/>
              <w:rPr>
                <w:rFonts w:cstheme="minorHAnsi"/>
                <w:b/>
                <w:szCs w:val="24"/>
              </w:rPr>
            </w:pPr>
            <w:r>
              <w:rPr>
                <w:rFonts w:cstheme="minorHAnsi"/>
                <w:b/>
                <w:szCs w:val="24"/>
              </w:rPr>
              <w:t xml:space="preserve">Identified </w:t>
            </w:r>
            <w:r>
              <w:rPr>
                <w:rFonts w:cstheme="minorHAnsi"/>
                <w:b/>
                <w:szCs w:val="24"/>
              </w:rPr>
              <w:t xml:space="preserve">health</w:t>
            </w:r>
            <w:r>
              <w:rPr>
                <w:rFonts w:cstheme="minorHAnsi"/>
                <w:b/>
                <w:szCs w:val="24"/>
              </w:rPr>
              <w:t xml:space="preserve"> need</w:t>
            </w:r>
            <w:r>
              <w:rPr>
                <w:rFonts w:cstheme="minorHAnsi"/>
                <w:b/>
                <w:szCs w:val="24"/>
              </w:rPr>
              <w:t xml:space="preserve">s</w:t>
            </w:r>
            <w:r>
              <w:rPr>
                <w:rFonts w:cstheme="minorHAnsi"/>
                <w:b/>
                <w:szCs w:val="24"/>
              </w:rPr>
              <w:t xml:space="preserve"> unable to address</w:t>
            </w:r>
            <w:r>
              <w:rPr>
                <w:rFonts w:cstheme="minorHAnsi"/>
                <w:b/>
                <w:szCs w:val="24"/>
              </w:rPr>
              <w:t xml:space="preserve"> </w:t>
            </w:r>
            <w:r>
              <w:rPr>
                <w:rFonts w:cstheme="minorHAnsi"/>
                <w:b/>
                <w:szCs w:val="24"/>
              </w:rPr>
              <w:t xml:space="preserve">by </w:t>
            </w:r>
            <w:r>
              <w:rPr>
                <w:rFonts w:cstheme="minorHAnsi"/>
                <w:b/>
                <w:szCs w:val="24"/>
              </w:rPr>
              <w:t xml:space="preserve">CHA</w:t>
            </w:r>
            <w:r>
              <w:rPr>
                <w:rFonts w:cstheme="minorHAnsi"/>
                <w:b/>
                <w:szCs w:val="24"/>
              </w:rPr>
            </w:r>
          </w:p>
        </w:tc>
        <w:tc>
          <w:tcPr>
            <w:shd w:val="clear" w:color="auto" w:fill="bfbfbf" w:themeFill="background1" w:themeFillShade="BF"/>
            <w:tcBorders/>
            <w:tcW w:w="7346" w:type="dxa"/>
            <w:vAlign w:val="center"/>
          </w:tcPr>
          <w:p w14:paraId="0C3694F2" w14:textId="77777777">
            <w:pPr>
              <w:pBdr/>
              <w:spacing/>
              <w:ind/>
              <w:jc w:val="center"/>
              <w:rPr>
                <w:rFonts w:cstheme="minorHAnsi"/>
                <w:b/>
                <w:szCs w:val="24"/>
              </w:rPr>
            </w:pPr>
            <w:r>
              <w:rPr>
                <w:rFonts w:cstheme="minorHAnsi"/>
                <w:b/>
                <w:szCs w:val="24"/>
              </w:rPr>
              <w:t xml:space="preserve">Rationale</w:t>
            </w:r>
            <w:r>
              <w:rPr>
                <w:rFonts w:cstheme="minorHAnsi"/>
                <w:b/>
                <w:szCs w:val="24"/>
              </w:rPr>
            </w:r>
          </w:p>
        </w:tc>
      </w:tr>
      <w:tr>
        <w:trPr>
          <w:trHeight w:val="2177"/>
        </w:trPr>
        <w:tc>
          <w:tcPr>
            <w:tcBorders/>
            <w:tcW w:w="6840" w:type="dxa"/>
            <w:vAlign w:val="center"/>
          </w:tcPr>
          <w:p w14:paraId="0D746B1A" w14:textId="5CBBEE6A">
            <w:pPr>
              <w:pStyle w:val="1145"/>
              <w:numPr>
                <w:ilvl w:val="0"/>
                <w:numId w:val="4"/>
              </w:numPr>
              <w:pBdr/>
              <w:spacing w:after="80"/>
              <w:ind/>
              <w:contextualSpacing w:val="false"/>
              <w:rPr>
                <w:rFonts w:cstheme="minorHAnsi"/>
                <w:bCs/>
                <w:szCs w:val="24"/>
              </w:rPr>
            </w:pPr>
            <w:r>
              <w:rPr>
                <w:rFonts w:cstheme="minorHAnsi"/>
                <w:bCs/>
                <w:szCs w:val="24"/>
              </w:rPr>
              <w:t xml:space="preserve">Assisted living facility: Participants in the CHNA survey a</w:t>
            </w:r>
            <w:r>
              <w:rPr>
                <w:rFonts w:cstheme="minorHAnsi"/>
                <w:bCs/>
                <w:szCs w:val="24"/>
              </w:rPr>
              <w:t xml:space="preserve">nd</w:t>
            </w:r>
            <w:r>
              <w:rPr>
                <w:rFonts w:cstheme="minorHAnsi"/>
                <w:bCs/>
                <w:szCs w:val="24"/>
              </w:rPr>
              <w:t xml:space="preserve"> local public health have identified the need </w:t>
            </w:r>
            <w:r>
              <w:rPr>
                <w:rFonts w:cstheme="minorHAnsi"/>
                <w:bCs/>
                <w:szCs w:val="24"/>
              </w:rPr>
              <w:t xml:space="preserve">for</w:t>
            </w:r>
            <w:r>
              <w:rPr>
                <w:rFonts w:cstheme="minorHAnsi"/>
                <w:bCs/>
                <w:szCs w:val="24"/>
              </w:rPr>
              <w:t xml:space="preserve"> assisted living services locally.</w:t>
            </w:r>
            <w:r>
              <w:rPr>
                <w:rFonts w:cstheme="minorHAnsi"/>
                <w:bCs/>
                <w:szCs w:val="24"/>
              </w:rPr>
            </w:r>
          </w:p>
        </w:tc>
        <w:tc>
          <w:tcPr>
            <w:tcBorders/>
            <w:tcW w:w="7346" w:type="dxa"/>
            <w:vAlign w:val="center"/>
          </w:tcPr>
          <w:p w14:paraId="463D6C4F" w14:textId="1EB01C49">
            <w:pPr>
              <w:pStyle w:val="1145"/>
              <w:numPr>
                <w:ilvl w:val="0"/>
                <w:numId w:val="1"/>
              </w:numPr>
              <w:pBdr/>
              <w:spacing/>
              <w:ind/>
              <w:rPr>
                <w:rFonts w:cstheme="minorHAnsi"/>
                <w:szCs w:val="24"/>
              </w:rPr>
            </w:pPr>
            <w:r>
              <w:rPr>
                <w:rFonts w:cstheme="minorHAnsi"/>
                <w:color w:val="212121"/>
                <w:szCs w:val="24"/>
              </w:rPr>
              <w:t xml:space="preserve">Requires significant resources that are currently beyond the means of NEMHS</w:t>
            </w:r>
            <w:r>
              <w:rPr>
                <w:rFonts w:cstheme="minorHAnsi"/>
                <w:szCs w:val="24"/>
              </w:rPr>
            </w:r>
          </w:p>
        </w:tc>
      </w:tr>
    </w:tbl>
    <w:p w14:paraId="2C956517" w14:textId="77777777">
      <w:pPr>
        <w:pBdr/>
        <w:spacing w:after="200" w:line="276" w:lineRule="auto"/>
        <w:ind/>
        <w:rPr>
          <w:rFonts w:eastAsiaTheme="majorEastAsia" w:cstheme="minorHAnsi"/>
          <w:b/>
          <w:bCs/>
          <w:color w:val="c49a00" w:themeColor="accent1" w:themeShade="BF"/>
          <w:sz w:val="28"/>
          <w:szCs w:val="28"/>
        </w:rPr>
      </w:pPr>
      <w:r>
        <w:rPr>
          <w:rFonts w:cstheme="minorHAnsi"/>
        </w:rPr>
        <w:br w:type="page" w:clear="all"/>
      </w:r>
      <w:r>
        <w:rPr>
          <w:rFonts w:eastAsiaTheme="majorEastAsia" w:cstheme="minorHAnsi"/>
          <w:b/>
          <w:bCs/>
          <w:color w:val="c49a00" w:themeColor="accent1" w:themeShade="BF"/>
          <w:sz w:val="28"/>
          <w:szCs w:val="28"/>
        </w:rPr>
      </w:r>
    </w:p>
    <w:p w14:paraId="7A53DCAC" w14:textId="77777777">
      <w:pPr>
        <w:pStyle w:val="1129"/>
        <w:pBdr/>
        <w:spacing/>
        <w:ind/>
        <w:jc w:val="center"/>
        <w:rPr>
          <w:rFonts w:asciiTheme="minorHAnsi" w:hAnsiTheme="minorHAnsi" w:cstheme="minorHAnsi"/>
        </w:rPr>
      </w:pPr>
      <w:r/>
      <w:bookmarkStart w:id="14" w:name="_Toc227308991"/>
      <w:r>
        <w:rPr>
          <w:rFonts w:asciiTheme="minorHAnsi" w:hAnsiTheme="minorHAnsi" w:cstheme="minorHAnsi"/>
        </w:rPr>
        <w:t xml:space="preserve">D</w:t>
      </w:r>
      <w:r>
        <w:rPr>
          <w:rFonts w:asciiTheme="minorHAnsi" w:hAnsiTheme="minorHAnsi" w:cstheme="minorHAnsi"/>
        </w:rPr>
        <w:t xml:space="preserve">issemination of </w:t>
      </w:r>
      <w:r>
        <w:rPr>
          <w:rFonts w:asciiTheme="minorHAnsi" w:hAnsiTheme="minorHAnsi" w:cstheme="minorHAnsi"/>
        </w:rPr>
        <w:t xml:space="preserve">Needs Assessment</w:t>
      </w:r>
      <w:bookmarkEnd w:id="14"/>
      <w:r/>
      <w:r>
        <w:rPr>
          <w:rFonts w:asciiTheme="minorHAnsi" w:hAnsiTheme="minorHAnsi" w:cstheme="minorHAnsi"/>
        </w:rPr>
      </w:r>
    </w:p>
    <w:p w14:paraId="7E45B0F6" w14:textId="77777777">
      <w:pPr>
        <w:pBdr/>
        <w:spacing/>
        <w:ind/>
        <w:rPr/>
      </w:pPr>
      <w:r/>
      <w:r/>
    </w:p>
    <w:p w14:paraId="278B3B3B" w14:textId="561EFA87">
      <w:pPr>
        <w:pBdr/>
        <w:spacing/>
        <w:ind/>
        <w:rPr>
          <w:rFonts w:cstheme="minorHAnsi"/>
          <w:szCs w:val="24"/>
        </w:rPr>
      </w:pPr>
      <w:r>
        <w:rPr>
          <w:rFonts w:cstheme="minorHAnsi"/>
          <w:szCs w:val="24"/>
        </w:rPr>
        <w:t xml:space="preserve">Northeast Montana Health Service “NEMHS” disseminated the community health needs assessment and implementation plan by posting both documents conspicuously on their website (</w:t>
      </w:r>
      <w:hyperlink r:id="rId27" w:tooltip="https://www.nemhs.net/" w:history="1">
        <w:r>
          <w:rPr>
            <w:rStyle w:val="1152"/>
            <w:rFonts w:cstheme="minorHAnsi"/>
            <w:szCs w:val="24"/>
          </w:rPr>
          <w:t xml:space="preserve">https://www.nemhs.net/</w:t>
        </w:r>
      </w:hyperlink>
      <w:r>
        <w:rPr>
          <w:rFonts w:cstheme="minorHAnsi"/>
          <w:szCs w:val="24"/>
        </w:rPr>
        <w:t xml:space="preserve">)</w:t>
      </w:r>
      <w:r>
        <w:rPr>
          <w:rFonts w:cstheme="minorHAnsi"/>
          <w:b/>
          <w:szCs w:val="24"/>
        </w:rPr>
        <w:t xml:space="preserve"> </w:t>
      </w:r>
      <w:r>
        <w:rPr>
          <w:rFonts w:cstheme="minorHAnsi"/>
          <w:szCs w:val="24"/>
        </w:rPr>
        <w:t xml:space="preserve">as well as having copies available at the facility should community members request to view the community health needs assessment or the implementation planning documents.</w:t>
      </w:r>
      <w:r>
        <w:rPr>
          <w:rFonts w:cstheme="minorHAnsi"/>
          <w:szCs w:val="24"/>
        </w:rPr>
      </w:r>
    </w:p>
    <w:p w14:paraId="236C1D47" w14:textId="77777777">
      <w:pPr>
        <w:pBdr/>
        <w:spacing/>
        <w:ind/>
        <w:rPr>
          <w:rFonts w:cstheme="minorHAnsi"/>
          <w:szCs w:val="24"/>
        </w:rPr>
      </w:pPr>
      <w:r>
        <w:rPr>
          <w:rFonts w:cstheme="minorHAnsi"/>
          <w:szCs w:val="24"/>
        </w:rPr>
      </w:r>
      <w:r>
        <w:rPr>
          <w:rFonts w:cstheme="minorHAnsi"/>
          <w:szCs w:val="24"/>
        </w:rPr>
      </w:r>
    </w:p>
    <w:p w14:paraId="5E4604DB" w14:textId="1434FADD">
      <w:pPr>
        <w:pBdr/>
        <w:spacing/>
        <w:ind/>
        <w:rPr>
          <w:rFonts w:cstheme="minorHAnsi"/>
          <w:szCs w:val="24"/>
        </w:rPr>
      </w:pPr>
      <w:r>
        <w:rPr>
          <w:rFonts w:cstheme="minorHAnsi"/>
          <w:szCs w:val="24"/>
        </w:rPr>
        <w:t xml:space="preserve">T</w:t>
      </w:r>
      <w:r>
        <w:rPr>
          <w:rFonts w:cstheme="minorHAnsi"/>
          <w:szCs w:val="24"/>
        </w:rPr>
        <w:t xml:space="preserve">he board members of NEMHS will be directed to the hospital’s website to view the complete assessment results and the implementation plan. NEMHS board members approved and adopted the plan on</w:t>
      </w:r>
      <w:r>
        <w:rPr>
          <w:rFonts w:cstheme="minorHAnsi"/>
          <w:szCs w:val="24"/>
        </w:rPr>
        <w:t xml:space="preserve"> </w:t>
      </w:r>
      <w:r>
        <w:rPr>
          <w:rFonts w:cstheme="minorHAnsi"/>
          <w:b/>
          <w:szCs w:val="24"/>
        </w:rPr>
        <w:t xml:space="preserve">April</w:t>
      </w:r>
      <w:r>
        <w:rPr>
          <w:rFonts w:cstheme="minorHAnsi"/>
          <w:b/>
          <w:szCs w:val="24"/>
        </w:rPr>
        <w:t xml:space="preserve"> 2</w:t>
      </w:r>
      <w:r>
        <w:rPr>
          <w:rFonts w:cstheme="minorHAnsi"/>
          <w:b/>
          <w:szCs w:val="24"/>
        </w:rPr>
        <w:t xml:space="preserve">3</w:t>
      </w:r>
      <w:r>
        <w:rPr>
          <w:rFonts w:cstheme="minorHAnsi"/>
          <w:b/>
          <w:szCs w:val="24"/>
        </w:rPr>
        <w:t xml:space="preserve">, 2026</w:t>
      </w:r>
      <w:r>
        <w:rPr>
          <w:rFonts w:cstheme="minorHAnsi"/>
          <w:szCs w:val="24"/>
        </w:rPr>
        <w:t xml:space="preserve">. Board members are encouraged to familiarize themselves with the needs assessment report and implementation plan, so they can publicly promote the facility’s plan to influence the community in a beneficial manner.  </w:t>
      </w:r>
      <w:r>
        <w:rPr>
          <w:rFonts w:cstheme="minorHAnsi"/>
          <w:szCs w:val="24"/>
        </w:rPr>
      </w:r>
    </w:p>
    <w:p w14:paraId="3F352B16" w14:textId="77777777">
      <w:pPr>
        <w:pBdr/>
        <w:spacing/>
        <w:ind/>
        <w:rPr>
          <w:rFonts w:cstheme="minorHAnsi"/>
          <w:szCs w:val="24"/>
        </w:rPr>
      </w:pPr>
      <w:r>
        <w:rPr>
          <w:rFonts w:cstheme="minorHAnsi"/>
          <w:szCs w:val="24"/>
        </w:rPr>
      </w:r>
      <w:r>
        <w:rPr>
          <w:rFonts w:cstheme="minorHAnsi"/>
          <w:szCs w:val="24"/>
        </w:rPr>
      </w:r>
    </w:p>
    <w:p w14:paraId="75C2C98C" w14:textId="182B7472">
      <w:pPr>
        <w:pBdr/>
        <w:spacing/>
        <w:ind/>
        <w:rPr>
          <w:rFonts w:cstheme="minorHAnsi"/>
          <w:szCs w:val="24"/>
        </w:rPr>
      </w:pPr>
      <w:r>
        <w:rPr>
          <w:rFonts w:cstheme="minorHAnsi"/>
          <w:szCs w:val="24"/>
        </w:rPr>
        <w:t xml:space="preserve">Written comments on this 2025-2028 Northeast Montana Health Service Community Benefit Strategic Plan can be submitted to:</w:t>
      </w:r>
      <w:r>
        <w:rPr>
          <w:rFonts w:cstheme="minorHAnsi"/>
          <w:szCs w:val="24"/>
        </w:rPr>
      </w:r>
    </w:p>
    <w:p w14:paraId="4CBB08E7" w14:textId="77777777">
      <w:pPr>
        <w:pBdr/>
        <w:spacing/>
        <w:ind/>
        <w:rPr>
          <w:rFonts w:cstheme="minorHAnsi"/>
          <w:szCs w:val="24"/>
        </w:rPr>
      </w:pPr>
      <w:r>
        <w:rPr>
          <w:rFonts w:cstheme="minorHAnsi"/>
          <w:szCs w:val="24"/>
        </w:rPr>
        <w:tab/>
      </w:r>
      <w:r>
        <w:rPr>
          <w:rFonts w:cstheme="minorHAnsi"/>
          <w:szCs w:val="24"/>
        </w:rPr>
      </w:r>
    </w:p>
    <w:p w14:paraId="3E51684D" w14:textId="547E09A4">
      <w:pPr>
        <w:pBdr/>
        <w:spacing/>
        <w:ind w:left="1440"/>
        <w:rPr>
          <w:rFonts w:cstheme="minorHAnsi"/>
          <w:szCs w:val="24"/>
        </w:rPr>
      </w:pPr>
      <w:r>
        <w:rPr>
          <w:rFonts w:cstheme="minorHAnsi"/>
          <w:szCs w:val="24"/>
        </w:rPr>
        <w:t xml:space="preserve">Kelli Hackley </w:t>
      </w:r>
      <w:r>
        <w:rPr>
          <w:rFonts w:cstheme="minorHAnsi"/>
          <w:szCs w:val="24"/>
        </w:rPr>
      </w:r>
    </w:p>
    <w:p w14:paraId="4218AF10" w14:textId="34576DD2">
      <w:pPr>
        <w:pBdr/>
        <w:spacing/>
        <w:ind w:left="1440"/>
        <w:rPr>
          <w:rFonts w:cstheme="minorHAnsi"/>
          <w:szCs w:val="24"/>
        </w:rPr>
      </w:pPr>
      <w:r>
        <w:rPr>
          <w:rFonts w:cstheme="minorHAnsi"/>
          <w:szCs w:val="24"/>
        </w:rPr>
        <w:t xml:space="preserve">Marketing Department</w:t>
      </w:r>
      <w:r>
        <w:rPr>
          <w:rFonts w:cstheme="minorHAnsi"/>
          <w:szCs w:val="24"/>
        </w:rPr>
      </w:r>
    </w:p>
    <w:p w14:paraId="541B1868" w14:textId="71C7C708">
      <w:pPr>
        <w:pBdr/>
        <w:spacing/>
        <w:ind w:left="1440"/>
        <w:rPr>
          <w:rFonts w:cstheme="minorHAnsi"/>
          <w:szCs w:val="24"/>
        </w:rPr>
      </w:pPr>
      <w:r>
        <w:rPr>
          <w:rFonts w:cstheme="minorHAnsi"/>
          <w:szCs w:val="24"/>
        </w:rPr>
        <w:t xml:space="preserve">Northeast Montana Health Service</w:t>
      </w:r>
      <w:r>
        <w:rPr>
          <w:rFonts w:cstheme="minorHAnsi"/>
          <w:szCs w:val="24"/>
        </w:rPr>
      </w:r>
    </w:p>
    <w:p w14:paraId="2E841DBB" w14:textId="01729012">
      <w:pPr>
        <w:pBdr/>
        <w:spacing/>
        <w:ind w:left="1440"/>
        <w:rPr/>
      </w:pPr>
      <w:r>
        <w:t xml:space="preserve">315 Knapp St</w:t>
      </w:r>
      <w:r/>
    </w:p>
    <w:p w14:paraId="1D756182" w14:textId="4F52EA56">
      <w:pPr>
        <w:pBdr/>
        <w:spacing/>
        <w:ind w:left="1440"/>
        <w:rPr/>
      </w:pPr>
      <w:r>
        <w:t xml:space="preserve">Wolf Point</w:t>
      </w:r>
      <w:r>
        <w:t xml:space="preserve">, Montana </w:t>
      </w:r>
      <w:r>
        <w:t xml:space="preserve">59201</w:t>
      </w:r>
      <w:r/>
    </w:p>
    <w:p w14:paraId="3B2A7226" w14:textId="77777777">
      <w:pPr>
        <w:pBdr/>
        <w:spacing/>
        <w:ind w:firstLine="540"/>
        <w:rPr>
          <w:rFonts w:cstheme="minorHAnsi"/>
          <w:szCs w:val="24"/>
        </w:rPr>
      </w:pPr>
      <w:r>
        <w:rPr>
          <w:rFonts w:cstheme="minorHAnsi"/>
          <w:szCs w:val="24"/>
        </w:rPr>
      </w:r>
      <w:r>
        <w:rPr>
          <w:rFonts w:cstheme="minorHAnsi"/>
          <w:szCs w:val="24"/>
        </w:rPr>
      </w:r>
    </w:p>
    <w:p w14:paraId="20F06DF2" w14:textId="44034C67">
      <w:pPr>
        <w:pBdr/>
        <w:spacing/>
        <w:ind/>
        <w:rPr/>
      </w:pPr>
      <w:r>
        <w:rPr>
          <w:rFonts w:cstheme="minorHAnsi"/>
          <w:szCs w:val="24"/>
        </w:rPr>
        <w:t xml:space="preserve">Please reach out to </w:t>
      </w:r>
      <w:r>
        <w:rPr>
          <w:rFonts w:cstheme="minorHAnsi"/>
          <w:szCs w:val="24"/>
        </w:rPr>
        <w:t xml:space="preserve">Kelli Hackley with </w:t>
      </w:r>
      <w:r>
        <w:t xml:space="preserve">NEMHS’s</w:t>
      </w:r>
      <w:r>
        <w:t xml:space="preserve"> </w:t>
      </w:r>
      <w:r>
        <w:t xml:space="preserve">Marketing Department</w:t>
      </w:r>
      <w:r>
        <w:t xml:space="preserve"> at</w:t>
      </w:r>
      <w:r>
        <w:t xml:space="preserve"> </w:t>
      </w:r>
      <w:r>
        <w:t xml:space="preserve">khackley@nemhs.net</w:t>
      </w:r>
      <w:r>
        <w:t xml:space="preserve"> with an</w:t>
      </w:r>
      <w:r>
        <w:t xml:space="preserve">y</w:t>
      </w:r>
      <w:r>
        <w:t xml:space="preserve"> questions.</w:t>
      </w:r>
      <w:r>
        <w:t xml:space="preserve"> </w:t>
      </w:r>
      <w:r/>
    </w:p>
    <w:sectPr>
      <w:footnotePr/>
      <w:endnotePr/>
      <w:type w:val="continuous"/>
      <w:pgSz w:h="12240" w:orient="landscape" w:w="15840"/>
      <w:pgMar w:top="1440" w:right="1440" w:bottom="1170" w:left="1440" w:header="576" w:footer="465" w:gutter="0"/>
      <w:pgBorders w:display="allPages" w:offsetFrom="page" w:zOrder="front">
        <w:bottom w:color="auto" w:space="24" w:sz="18" w:val="single"/>
        <w:left w:color="auto" w:space="24" w:sz="18" w:val="single"/>
        <w:right w:color="auto" w:space="24" w:sz="18" w:val="single"/>
        <w:top w:color="auto" w:space="24" w:sz="18" w:val="single"/>
      </w:pgBorders>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F92F8A7" w14:textId="77777777">
      <w:pPr>
        <w:pBdr/>
        <w:spacing/>
        <w:ind/>
        <w:rPr/>
      </w:pPr>
      <w:r>
        <w:separator/>
      </w:r>
      <w:r/>
    </w:p>
  </w:endnote>
  <w:endnote w:type="continuationSeparator" w:id="0">
    <w:p w14:paraId="1D2EC76A" w14:textId="77777777">
      <w:pPr>
        <w:pBdr/>
        <w:spacing/>
        <w:ind/>
        <w:rPr/>
      </w:pPr>
      <w:r>
        <w:continuationSeparator/>
      </w:r>
      <w:r/>
    </w:p>
  </w:endnote>
  <w:endnote w:type="continuationNotice" w:id="1">
    <w:p w14:paraId="2132145F" w14:textId="77777777">
      <w:pPr>
        <w:pBdr/>
        <w:spacing/>
        <w:ind/>
        <w:rPr/>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409020205020404"/>
  </w:font>
  <w:font w:name="Symbol">
    <w:panose1 w:val="05010000000000000000"/>
  </w:font>
  <w:font w:name="Calibri">
    <w:panose1 w:val="020F0502020204030204"/>
  </w:font>
  <w:font w:name="Times New Roman">
    <w:panose1 w:val="02020603050405020304"/>
  </w:font>
  <w:font w:name="Tahoma">
    <w:panose1 w:val="020B060403050404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022172400"/>
      <w:docPartObj>
        <w:docPartGallery w:val="Page Numbers (Bottom of Page)"/>
        <w:docPartUnique w:val="true"/>
      </w:docPartObj>
      <w:rPr/>
    </w:sdtPr>
    <w:sdtContent>
      <w:tbl>
        <w:tblPr>
          <w:tblInd w:w="-342" w:type="dxa"/>
          <w:tblW w:w="4952" w:type="pct"/>
          <w:tblBorders>
            <w:top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801"/>
          <w:gridCol w:w="12035"/>
        </w:tblGrid>
        <w:tr>
          <w:trPr>
            <w:trHeight w:val="662"/>
          </w:trPr>
          <w:tc>
            <w:tcPr>
              <w:tcBorders/>
              <w:tcW w:w="810" w:type="dxa"/>
            </w:tcPr>
            <w:p w14:paraId="6AD70673" w14:textId="77777777">
              <w:pPr>
                <w:pStyle w:val="1141"/>
                <w:pBdr/>
                <w:spacing/>
                <w:ind/>
                <w:jc w:val="right"/>
                <w:rPr>
                  <w:rFonts w:ascii="Times New Roman" w:hAnsi="Times New Roman" w:cs="Times New Roman"/>
                  <w:b/>
                  <w:color w:val="ffca08" w:themeColor="accent1"/>
                  <w:sz w:val="32"/>
                  <w:szCs w:val="32"/>
                </w:rPr>
              </w:pP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b/>
                  <w:color w:val="ffca08" w:themeColor="accent1"/>
                  <w:sz w:val="32"/>
                  <w:szCs w:val="32"/>
                </w:rPr>
                <w:t xml:space="preserve">2</w:t>
              </w:r>
              <w:r>
                <w:rPr>
                  <w:rFonts w:ascii="Calibri" w:hAnsi="Calibri" w:cs="Calibri"/>
                  <w:b/>
                  <w:color w:val="ffca08" w:themeColor="accent1"/>
                  <w:sz w:val="32"/>
                  <w:szCs w:val="32"/>
                </w:rPr>
                <w:fldChar w:fldCharType="end"/>
              </w:r>
              <w:r>
                <w:rPr>
                  <w:rFonts w:ascii="Times New Roman" w:hAnsi="Times New Roman" w:cs="Times New Roman"/>
                  <w:b/>
                  <w:color w:val="ffca08" w:themeColor="accent1"/>
                  <w:sz w:val="32"/>
                  <w:szCs w:val="32"/>
                </w:rPr>
              </w:r>
            </w:p>
          </w:tc>
          <w:tc>
            <w:tcPr>
              <w:tcBorders/>
              <w:tcW w:w="12240" w:type="dxa"/>
            </w:tcPr>
            <w:p w14:paraId="561F4736" w14:textId="77777777">
              <w:pPr>
                <w:pBdr/>
                <w:spacing/>
                <w:ind w:left="162"/>
                <w:rPr>
                  <w:rFonts w:ascii="Times New Roman" w:hAnsi="Times New Roman" w:cs="Times New Roman"/>
                  <w:i/>
                  <w:sz w:val="28"/>
                  <w:szCs w:val="28"/>
                </w:rPr>
              </w:pPr>
              <w:r>
                <w:rPr>
                  <w:rFonts w:ascii="Times New Roman" w:hAnsi="Times New Roman" w:cs="Times New Roman"/>
                  <w:i/>
                  <w:sz w:val="20"/>
                  <w:szCs w:val="20"/>
                </w:rPr>
                <w:t xml:space="preserve">Disclaimer: The </w:t>
              </w:r>
              <w:r>
                <w:rPr>
                  <w:rFonts w:ascii="Times New Roman" w:hAnsi="Times New Roman" w:cs="Times New Roman"/>
                  <w:i/>
                  <w:sz w:val="20"/>
                  <w:szCs w:val="20"/>
                </w:rPr>
                <w:t xml:space="preserve">Montana Office of Rural Health</w:t>
              </w:r>
              <w:r>
                <w:rPr>
                  <w:rFonts w:ascii="Times New Roman" w:hAnsi="Times New Roman" w:cs="Times New Roman"/>
                  <w:i/>
                  <w:sz w:val="20"/>
                  <w:szCs w:val="20"/>
                </w:rPr>
                <w:t xml:space="preserve"> strongly encourage</w:t>
              </w:r>
              <w:r>
                <w:rPr>
                  <w:rFonts w:ascii="Times New Roman" w:hAnsi="Times New Roman" w:cs="Times New Roman"/>
                  <w:i/>
                  <w:sz w:val="20"/>
                  <w:szCs w:val="20"/>
                </w:rPr>
                <w:t xml:space="preserve">s</w:t>
              </w:r>
              <w:r>
                <w:rPr>
                  <w:rFonts w:ascii="Times New Roman" w:hAnsi="Times New Roman" w:cs="Times New Roman"/>
                  <w:i/>
                  <w:sz w:val="20"/>
                  <w:szCs w:val="20"/>
                </w:rPr>
                <w:t xml:space="preserve"> an accounting professional’s review of this document before submission to the IRS. As of this publishing, this document</w:t>
              </w:r>
              <w:r>
                <w:rPr>
                  <w:rFonts w:ascii="Times New Roman" w:hAnsi="Times New Roman" w:cs="Times New Roman"/>
                  <w:i/>
                  <w:sz w:val="20"/>
                  <w:szCs w:val="20"/>
                </w:rPr>
                <w:t xml:space="preserve"> should be reviewed</w:t>
              </w:r>
              <w:r>
                <w:rPr>
                  <w:rFonts w:ascii="Times New Roman" w:hAnsi="Times New Roman" w:cs="Times New Roman"/>
                  <w:i/>
                  <w:sz w:val="20"/>
                  <w:szCs w:val="20"/>
                </w:rPr>
                <w:t xml:space="preserve"> by a qualified tax professional. Recommendations on its adequacy in fulfillment of IRS reporting requirements are forthcoming.</w:t>
              </w:r>
              <w:r>
                <w:rPr>
                  <w:rFonts w:ascii="Times New Roman" w:hAnsi="Times New Roman" w:cs="Times New Roman"/>
                  <w:i/>
                  <w:sz w:val="28"/>
                  <w:szCs w:val="28"/>
                </w:rPr>
              </w:r>
            </w:p>
          </w:tc>
        </w:tr>
      </w:tbl>
      <w:p w14:paraId="3F65048D" w14:textId="77777777">
        <w:pPr>
          <w:pStyle w:val="1141"/>
          <w:pBdr/>
          <w:spacing/>
          <w:ind/>
          <w:rPr/>
        </w:pPr>
        <w:r/>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296B5C4" w14:textId="77777777">
    <w:pPr>
      <w:pStyle w:val="11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12773711"/>
      <w:docPartObj>
        <w:docPartGallery w:val="Page Numbers (Bottom of Page)"/>
        <w:docPartUnique w:val="true"/>
      </w:docPartObj>
      <w:rPr/>
    </w:sdtPr>
    <w:sdtContent>
      <w:tbl>
        <w:tblPr>
          <w:tblInd w:w="-342" w:type="dxa"/>
          <w:tblW w:w="4952" w:type="pct"/>
          <w:tblBorders>
            <w:top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801"/>
          <w:gridCol w:w="12035"/>
        </w:tblGrid>
        <w:tr>
          <w:trPr>
            <w:trHeight w:val="662"/>
          </w:trPr>
          <w:tc>
            <w:tcPr>
              <w:tcBorders/>
              <w:tcW w:w="810" w:type="dxa"/>
            </w:tcPr>
            <w:p w14:paraId="69656571" w14:textId="77777777">
              <w:pPr>
                <w:pStyle w:val="1141"/>
                <w:pBdr/>
                <w:spacing/>
                <w:ind/>
                <w:jc w:val="right"/>
                <w:rPr>
                  <w:rFonts w:ascii="Times New Roman" w:hAnsi="Times New Roman" w:cs="Times New Roman"/>
                  <w:b/>
                  <w:color w:val="ffca08" w:themeColor="accent1"/>
                  <w:sz w:val="32"/>
                  <w:szCs w:val="32"/>
                </w:rPr>
              </w:pPr>
              <w:r>
                <w:rPr>
                  <w:rFonts w:cstheme="minorHAnsi"/>
                </w:rPr>
                <w:fldChar w:fldCharType="begin"/>
              </w:r>
              <w:r>
                <w:rPr>
                  <w:rFonts w:cstheme="minorHAnsi"/>
                </w:rPr>
                <w:instrText xml:space="preserve"> PAGE   \* MERGEFORMAT </w:instrText>
              </w:r>
              <w:r>
                <w:rPr>
                  <w:rFonts w:cstheme="minorHAnsi"/>
                </w:rPr>
                <w:fldChar w:fldCharType="separate"/>
              </w:r>
              <w:r>
                <w:rPr>
                  <w:rFonts w:cstheme="minorHAnsi"/>
                  <w:b/>
                  <w:color w:val="ffca08" w:themeColor="accent1"/>
                  <w:sz w:val="32"/>
                  <w:szCs w:val="32"/>
                </w:rPr>
                <w:t xml:space="preserve">1</w:t>
              </w:r>
              <w:r>
                <w:rPr>
                  <w:rFonts w:cstheme="minorHAnsi"/>
                  <w:b/>
                  <w:color w:val="ffca08" w:themeColor="accent1"/>
                  <w:sz w:val="32"/>
                  <w:szCs w:val="32"/>
                </w:rPr>
                <w:fldChar w:fldCharType="end"/>
              </w:r>
              <w:r>
                <w:rPr>
                  <w:rFonts w:ascii="Times New Roman" w:hAnsi="Times New Roman" w:cs="Times New Roman"/>
                  <w:b/>
                  <w:color w:val="ffca08" w:themeColor="accent1"/>
                  <w:sz w:val="32"/>
                  <w:szCs w:val="32"/>
                </w:rPr>
              </w:r>
            </w:p>
          </w:tc>
          <w:tc>
            <w:tcPr>
              <w:tcBorders/>
              <w:tcW w:w="12240" w:type="dxa"/>
            </w:tcPr>
            <w:p w14:paraId="71F17D7C" w14:textId="77777777">
              <w:pPr>
                <w:pBdr/>
                <w:spacing/>
                <w:ind w:left="162"/>
                <w:rPr>
                  <w:rFonts w:ascii="Times New Roman" w:hAnsi="Times New Roman" w:cs="Times New Roman"/>
                  <w:i/>
                  <w:sz w:val="28"/>
                  <w:szCs w:val="28"/>
                </w:rPr>
              </w:pPr>
              <w:r>
                <w:rPr>
                  <w:rFonts w:ascii="Times New Roman" w:hAnsi="Times New Roman" w:cs="Times New Roman"/>
                  <w:i/>
                  <w:sz w:val="20"/>
                  <w:szCs w:val="20"/>
                </w:rPr>
                <w:t xml:space="preserve">Disclaimer: The </w:t>
              </w:r>
              <w:r>
                <w:rPr>
                  <w:rFonts w:ascii="Times New Roman" w:hAnsi="Times New Roman" w:cs="Times New Roman"/>
                  <w:i/>
                  <w:sz w:val="20"/>
                  <w:szCs w:val="20"/>
                </w:rPr>
                <w:t xml:space="preserve">Montana Office of Rural Health </w:t>
              </w:r>
              <w:r>
                <w:rPr>
                  <w:rFonts w:ascii="Times New Roman" w:hAnsi="Times New Roman" w:cs="Times New Roman"/>
                  <w:i/>
                  <w:sz w:val="20"/>
                  <w:szCs w:val="20"/>
                </w:rPr>
                <w:t xml:space="preserve">strongly encourage</w:t>
              </w:r>
              <w:r>
                <w:rPr>
                  <w:rFonts w:ascii="Times New Roman" w:hAnsi="Times New Roman" w:cs="Times New Roman"/>
                  <w:i/>
                  <w:sz w:val="20"/>
                  <w:szCs w:val="20"/>
                </w:rPr>
                <w:t xml:space="preserve">s</w:t>
              </w:r>
              <w:r>
                <w:rPr>
                  <w:rFonts w:ascii="Times New Roman" w:hAnsi="Times New Roman" w:cs="Times New Roman"/>
                  <w:i/>
                  <w:sz w:val="20"/>
                  <w:szCs w:val="20"/>
                </w:rPr>
                <w:t xml:space="preserve"> an accounting professional’s review of this document before submission to the IRS. As of this publishing, this document</w:t>
              </w:r>
              <w:r>
                <w:rPr>
                  <w:rFonts w:ascii="Times New Roman" w:hAnsi="Times New Roman" w:cs="Times New Roman"/>
                  <w:i/>
                  <w:sz w:val="20"/>
                  <w:szCs w:val="20"/>
                </w:rPr>
                <w:t xml:space="preserve"> should be reviewed</w:t>
              </w:r>
              <w:r>
                <w:rPr>
                  <w:rFonts w:ascii="Times New Roman" w:hAnsi="Times New Roman" w:cs="Times New Roman"/>
                  <w:i/>
                  <w:sz w:val="20"/>
                  <w:szCs w:val="20"/>
                </w:rPr>
                <w:t xml:space="preserve"> by a qualified tax professional. Recommendations on its adequacy in fulfillment of IRS reporting requirements are forthcoming.</w:t>
              </w:r>
              <w:r>
                <w:rPr>
                  <w:rFonts w:ascii="Times New Roman" w:hAnsi="Times New Roman" w:cs="Times New Roman"/>
                  <w:i/>
                  <w:sz w:val="28"/>
                  <w:szCs w:val="28"/>
                </w:rPr>
              </w:r>
            </w:p>
          </w:tc>
        </w:tr>
      </w:tbl>
      <w:p w14:paraId="25BA6FCB" w14:textId="77777777">
        <w:pPr>
          <w:pStyle w:val="1141"/>
          <w:pBdr/>
          <w:spacing/>
          <w:ind/>
          <w:rPr/>
        </w:pPr>
        <w:r/>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59527351"/>
      <w:docPartObj>
        <w:docPartGallery w:val="Page Numbers (Bottom of Page)"/>
        <w:docPartUnique w:val="true"/>
      </w:docPartObj>
      <w:rPr>
        <w:rFonts w:cstheme="minorHAnsi"/>
      </w:rPr>
    </w:sdtPr>
    <w:sdtContent>
      <w:tbl>
        <w:tblPr>
          <w:tblInd w:w="-342" w:type="dxa"/>
          <w:tblW w:w="4952" w:type="pct"/>
          <w:tblBorders>
            <w:top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801"/>
          <w:gridCol w:w="12035"/>
        </w:tblGrid>
        <w:tr>
          <w:trPr>
            <w:trHeight w:val="662"/>
          </w:trPr>
          <w:tc>
            <w:tcPr>
              <w:tcBorders/>
              <w:tcW w:w="810" w:type="dxa"/>
            </w:tcPr>
            <w:p w14:paraId="04234B86" w14:textId="77777777">
              <w:pPr>
                <w:pStyle w:val="1141"/>
                <w:pBdr/>
                <w:spacing/>
                <w:ind/>
                <w:jc w:val="right"/>
                <w:rPr>
                  <w:rFonts w:cstheme="minorHAnsi"/>
                  <w:b/>
                  <w:color w:val="ffca08" w:themeColor="accent1"/>
                  <w:sz w:val="32"/>
                  <w:szCs w:val="32"/>
                </w:rPr>
              </w:pPr>
              <w:r>
                <w:rPr>
                  <w:rFonts w:cstheme="minorHAnsi"/>
                </w:rPr>
                <w:fldChar w:fldCharType="begin"/>
              </w:r>
              <w:r>
                <w:rPr>
                  <w:rFonts w:cstheme="minorHAnsi"/>
                </w:rPr>
                <w:instrText xml:space="preserve"> PAGE   \* MERGEFORMAT </w:instrText>
              </w:r>
              <w:r>
                <w:rPr>
                  <w:rFonts w:cstheme="minorHAnsi"/>
                </w:rPr>
                <w:fldChar w:fldCharType="separate"/>
              </w:r>
              <w:r>
                <w:rPr>
                  <w:rFonts w:cstheme="minorHAnsi"/>
                  <w:b/>
                  <w:color w:val="ffca08" w:themeColor="accent1"/>
                  <w:sz w:val="32"/>
                  <w:szCs w:val="32"/>
                </w:rPr>
                <w:t xml:space="preserve">17</w:t>
              </w:r>
              <w:r>
                <w:rPr>
                  <w:rFonts w:cstheme="minorHAnsi"/>
                  <w:b/>
                  <w:color w:val="ffca08" w:themeColor="accent1"/>
                  <w:sz w:val="32"/>
                  <w:szCs w:val="32"/>
                </w:rPr>
                <w:fldChar w:fldCharType="end"/>
              </w:r>
              <w:r>
                <w:rPr>
                  <w:rFonts w:cstheme="minorHAnsi"/>
                  <w:b/>
                  <w:color w:val="ffca08" w:themeColor="accent1"/>
                  <w:sz w:val="32"/>
                  <w:szCs w:val="32"/>
                </w:rPr>
              </w:r>
            </w:p>
          </w:tc>
          <w:tc>
            <w:tcPr>
              <w:tcBorders/>
              <w:tcW w:w="12240" w:type="dxa"/>
            </w:tcPr>
            <w:p w14:paraId="5914F89E" w14:textId="77777777">
              <w:pPr>
                <w:pBdr/>
                <w:spacing/>
                <w:ind w:left="162"/>
                <w:rPr>
                  <w:rFonts w:cstheme="minorHAnsi"/>
                  <w:i/>
                  <w:sz w:val="28"/>
                  <w:szCs w:val="28"/>
                </w:rPr>
              </w:pPr>
              <w:r>
                <w:rPr>
                  <w:rFonts w:cstheme="minorHAnsi"/>
                  <w:i/>
                  <w:sz w:val="20"/>
                  <w:szCs w:val="20"/>
                </w:rPr>
                <w:t xml:space="preserve">Disclaimer: The Montana Office of Rural Health and the National Rural Health Resource Center strongly encourage an accoun</w:t>
              </w:r>
              <w:r>
                <w:rPr>
                  <w:rFonts w:cstheme="minorHAnsi"/>
                  <w:i/>
                  <w:sz w:val="20"/>
                  <w:szCs w:val="20"/>
                </w:rPr>
                <w:t xml:space="preserve">ting professional’s review of this document before submission to the IRS. As of this publishing, this document should be reviewed by a qualified tax professional. Recommendations on its adequacy in fulfillment of IRS reporting requirements are forthcoming.</w:t>
              </w:r>
              <w:r>
                <w:rPr>
                  <w:rFonts w:cstheme="minorHAnsi"/>
                  <w:i/>
                  <w:sz w:val="28"/>
                  <w:szCs w:val="28"/>
                </w:rPr>
              </w:r>
            </w:p>
          </w:tc>
        </w:tr>
      </w:tbl>
      <w:p w14:paraId="5B1B747D" w14:textId="77777777">
        <w:pPr>
          <w:pStyle w:val="1141"/>
          <w:pBdr/>
          <w:spacing/>
          <w:ind/>
          <w:rPr/>
        </w:pPr>
        <w:r/>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913898195"/>
      <w:docPartObj>
        <w:docPartGallery w:val="Page Numbers (Bottom of Page)"/>
        <w:docPartUnique w:val="true"/>
      </w:docPartObj>
      <w:rPr/>
    </w:sdtPr>
    <w:sdtContent>
      <w:tbl>
        <w:tblPr>
          <w:tblInd w:w="-342" w:type="dxa"/>
          <w:tblW w:w="4952" w:type="pct"/>
          <w:tblBorders>
            <w:top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801"/>
          <w:gridCol w:w="12035"/>
        </w:tblGrid>
        <w:tr>
          <w:trPr>
            <w:trHeight w:val="662"/>
          </w:trPr>
          <w:tc>
            <w:tcPr>
              <w:tcBorders/>
              <w:tcW w:w="810" w:type="dxa"/>
            </w:tcPr>
            <w:p w14:paraId="02310F42" w14:textId="77777777">
              <w:pPr>
                <w:pStyle w:val="1141"/>
                <w:pBdr/>
                <w:spacing/>
                <w:ind/>
                <w:jc w:val="right"/>
                <w:rPr>
                  <w:rFonts w:ascii="Times New Roman" w:hAnsi="Times New Roman" w:cs="Times New Roman"/>
                  <w:b/>
                  <w:color w:val="ffca08" w:themeColor="accent1"/>
                  <w:sz w:val="32"/>
                  <w:szCs w:val="32"/>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color w:val="ffca08" w:themeColor="accent1"/>
                  <w:sz w:val="32"/>
                  <w:szCs w:val="32"/>
                </w:rPr>
                <w:t xml:space="preserve">21</w:t>
              </w:r>
              <w:r>
                <w:rPr>
                  <w:rFonts w:ascii="Times New Roman" w:hAnsi="Times New Roman" w:cs="Times New Roman"/>
                  <w:b/>
                  <w:color w:val="ffca08" w:themeColor="accent1"/>
                  <w:sz w:val="32"/>
                  <w:szCs w:val="32"/>
                </w:rPr>
                <w:fldChar w:fldCharType="end"/>
              </w:r>
              <w:r>
                <w:rPr>
                  <w:rFonts w:ascii="Times New Roman" w:hAnsi="Times New Roman" w:cs="Times New Roman"/>
                  <w:b/>
                  <w:color w:val="ffca08" w:themeColor="accent1"/>
                  <w:sz w:val="32"/>
                  <w:szCs w:val="32"/>
                </w:rPr>
              </w:r>
            </w:p>
          </w:tc>
          <w:tc>
            <w:tcPr>
              <w:tcBorders/>
              <w:tcW w:w="12240" w:type="dxa"/>
            </w:tcPr>
            <w:p w14:paraId="2F230BF4" w14:textId="77777777">
              <w:pPr>
                <w:pBdr/>
                <w:spacing/>
                <w:ind w:left="162"/>
                <w:rPr>
                  <w:rFonts w:ascii="Times New Roman" w:hAnsi="Times New Roman" w:cs="Times New Roman"/>
                  <w:i/>
                  <w:sz w:val="28"/>
                  <w:szCs w:val="28"/>
                </w:rPr>
              </w:pPr>
              <w:r>
                <w:rPr>
                  <w:rFonts w:ascii="Times New Roman" w:hAnsi="Times New Roman" w:cs="Times New Roman"/>
                  <w:i/>
                  <w:sz w:val="20"/>
                  <w:szCs w:val="20"/>
                </w:rPr>
                <w:t xml:space="preserve">Disclaimer: The </w:t>
              </w:r>
              <w:r>
                <w:rPr>
                  <w:rFonts w:ascii="Times New Roman" w:hAnsi="Times New Roman" w:cs="Times New Roman"/>
                  <w:i/>
                  <w:sz w:val="20"/>
                  <w:szCs w:val="20"/>
                </w:rPr>
                <w:t xml:space="preserve">Montana Office of Rural Health and the </w:t>
              </w:r>
              <w:r>
                <w:rPr>
                  <w:rFonts w:ascii="Times New Roman" w:hAnsi="Times New Roman" w:cs="Times New Roman"/>
                  <w:i/>
                  <w:sz w:val="20"/>
                  <w:szCs w:val="20"/>
                </w:rPr>
                <w:t xml:space="preserve">National Rural Health Resource Center strongly encourage an accounting professional’s review of this document before submission to the IRS. As of this publishing, this document</w:t>
              </w:r>
              <w:r>
                <w:rPr>
                  <w:rFonts w:ascii="Times New Roman" w:hAnsi="Times New Roman" w:cs="Times New Roman"/>
                  <w:i/>
                  <w:sz w:val="20"/>
                  <w:szCs w:val="20"/>
                </w:rPr>
                <w:t xml:space="preserve"> should be reviewed</w:t>
              </w:r>
              <w:r>
                <w:rPr>
                  <w:rFonts w:ascii="Times New Roman" w:hAnsi="Times New Roman" w:cs="Times New Roman"/>
                  <w:i/>
                  <w:sz w:val="20"/>
                  <w:szCs w:val="20"/>
                </w:rPr>
                <w:t xml:space="preserve"> by a qualified tax professional. Recommendations on its adequacy in fulfillment of IRS reporting requirements are forthcoming.</w:t>
              </w:r>
              <w:r>
                <w:rPr>
                  <w:rFonts w:ascii="Times New Roman" w:hAnsi="Times New Roman" w:cs="Times New Roman"/>
                  <w:i/>
                  <w:sz w:val="28"/>
                  <w:szCs w:val="28"/>
                </w:rPr>
              </w:r>
            </w:p>
          </w:tc>
        </w:tr>
      </w:tbl>
      <w:p w14:paraId="67278C2D" w14:textId="77777777">
        <w:pPr>
          <w:pStyle w:val="1141"/>
          <w:pBdr/>
          <w:spacing/>
          <w:ind/>
          <w:rPr/>
        </w:pPr>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4CB9882" w14:textId="77777777">
      <w:pPr>
        <w:pBdr/>
        <w:spacing/>
        <w:ind/>
        <w:rPr/>
      </w:pPr>
      <w:r>
        <w:separator/>
      </w:r>
      <w:r/>
    </w:p>
  </w:footnote>
  <w:footnote w:type="continuationSeparator" w:id="0">
    <w:p w14:paraId="5BF1E8B1" w14:textId="77777777">
      <w:pPr>
        <w:pBdr/>
        <w:spacing/>
        <w:ind/>
        <w:rPr/>
      </w:pPr>
      <w:r>
        <w:continuationSeparator/>
      </w:r>
      <w:r/>
    </w:p>
  </w:footnote>
  <w:footnote w:type="continuationNotice" w:id="1">
    <w:p w14:paraId="368308F4" w14:textId="77777777">
      <w:pPr>
        <w:pBdr/>
        <w:spacing/>
        <w:ind/>
        <w:rPr/>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Ind w:w="-494" w:type="dxa"/>
      <w:tblW w:w="5280" w:type="pct"/>
      <w:tblCellMar>
        <w:left w:w="115" w:type="dxa"/>
        <w:top w:w="72" w:type="dxa"/>
        <w:right w:w="115" w:type="dxa"/>
        <w:bottom w:w="72" w:type="dxa"/>
      </w:tblCellMar>
      <w:tblBorders>
        <w:bottom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11804"/>
      <w:gridCol w:w="1882"/>
    </w:tblGrid>
    <w:tr>
      <w:trPr>
        <w:trHeight w:val="313"/>
      </w:trPr>
      <w:tc>
        <w:tcPr>
          <w:tcBorders/>
          <w:tcW w:w="12024" w:type="dxa"/>
        </w:tcPr>
        <w:p w14:paraId="5B2ED702" w14:textId="67BDD474">
          <w:pPr>
            <w:pStyle w:val="1139"/>
            <w:pBdr/>
            <w:spacing/>
            <w:ind/>
            <w:jc w:val="right"/>
            <w:rPr>
              <w:rFonts w:ascii="Calibri" w:hAnsi="Calibri" w:cs="Calibri" w:eastAsiaTheme="majorEastAsia"/>
              <w:sz w:val="28"/>
              <w:szCs w:val="28"/>
            </w:rPr>
          </w:pPr>
          <w:r/>
          <w:sdt>
            <w:sdtPr>
              <w:alias w:val="Title"/>
              <w15:appearance w15:val="boundingBox"/>
              <w:id w:val="-1085140495"/>
              <w:dataBinding w:prefixMappings="xmlns:ns0='http://schemas.openxmlformats.org/package/2006/metadata/core-properties' xmlns:ns1='http://purl.org/dc/elements/1.1/'" w:xpath="/ns0:coreProperties[1]/ns1:title[1]" w:storeItemID="{6C3C8BC8-F283-45AE-878A-BAB7291924A1}"/>
              <w:rPr>
                <w:rFonts w:ascii="Calibri" w:hAnsi="Calibri" w:cs="Calibri" w:eastAsiaTheme="majorEastAsia"/>
                <w:sz w:val="28"/>
                <w:szCs w:val="28"/>
              </w:rPr>
            </w:sdtPr>
            <w:sdtContent>
              <w:r>
                <w:rPr>
                  <w:rFonts w:ascii="Calibri" w:hAnsi="Calibri" w:cs="Calibri" w:eastAsiaTheme="majorEastAsia"/>
                  <w:sz w:val="28"/>
                  <w:szCs w:val="28"/>
                </w:rPr>
                <w:t xml:space="preserve">Northeast Montana Health Service – Poplar / Wolf Point, MT</w:t>
              </w:r>
            </w:sdtContent>
          </w:sdt>
          <w:r/>
          <w:r>
            <w:rPr>
              <w:rFonts w:ascii="Calibri" w:hAnsi="Calibri" w:cs="Calibri" w:eastAsiaTheme="majorEastAsia"/>
              <w:sz w:val="28"/>
              <w:szCs w:val="28"/>
            </w:rPr>
          </w:r>
        </w:p>
      </w:tc>
      <w:tc>
        <w:tcPr>
          <w:tcBorders/>
          <w:tcW w:w="1905" w:type="dxa"/>
        </w:tcPr>
        <w:p w14:paraId="2EFB60BD" w14:textId="2B246610">
          <w:pPr>
            <w:pStyle w:val="1139"/>
            <w:pBdr/>
            <w:spacing/>
            <w:ind/>
            <w:rPr>
              <w:rFonts w:ascii="Calibri" w:hAnsi="Calibri" w:cs="Calibri" w:eastAsiaTheme="majorEastAsia"/>
              <w:b/>
              <w:bCs/>
              <w:color w:val="ffca08" w:themeColor="accent1"/>
              <w:sz w:val="28"/>
              <w:szCs w:val="28"/>
            </w:rPr>
          </w:pPr>
          <w:r>
            <w:rPr>
              <w:rFonts w:ascii="Calibri" w:hAnsi="Calibri" w:cs="Calibri" w:eastAsiaTheme="majorEastAsia"/>
              <w:b/>
              <w:bCs/>
              <w:color w:val="ffca08" w:themeColor="accent1"/>
              <w:sz w:val="28"/>
              <w:szCs w:val="28"/>
            </w:rPr>
            <w:t xml:space="preserve">2025</w:t>
          </w:r>
          <w:r>
            <w:rPr>
              <w:rFonts w:ascii="Calibri" w:hAnsi="Calibri" w:cs="Calibri" w:eastAsiaTheme="majorEastAsia"/>
              <w:b/>
              <w:bCs/>
              <w:color w:val="ffca08" w:themeColor="accent1"/>
              <w:sz w:val="28"/>
              <w:szCs w:val="28"/>
            </w:rPr>
          </w:r>
        </w:p>
      </w:tc>
    </w:tr>
  </w:tbl>
  <w:p w14:paraId="2B1E273D" w14:textId="648DA0DA">
    <w:pPr>
      <w:pStyle w:val="113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AF3F98D" w14:textId="79024F5A">
    <w:pPr>
      <w:pStyle w:val="1139"/>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Ind w:w="-494" w:type="dxa"/>
      <w:tblW w:w="5280" w:type="pct"/>
      <w:tblCellMar>
        <w:left w:w="115" w:type="dxa"/>
        <w:top w:w="72" w:type="dxa"/>
        <w:right w:w="115" w:type="dxa"/>
        <w:bottom w:w="72" w:type="dxa"/>
      </w:tblCellMar>
      <w:tblBorders>
        <w:bottom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11804"/>
      <w:gridCol w:w="1882"/>
    </w:tblGrid>
    <w:tr>
      <w:trPr>
        <w:trHeight w:val="313"/>
      </w:trPr>
      <w:tc>
        <w:tcPr>
          <w:tcBorders/>
          <w:tcW w:w="12024" w:type="dxa"/>
        </w:tcPr>
        <w:p w14:paraId="5843C69A" w14:textId="72346627">
          <w:pPr>
            <w:pStyle w:val="1139"/>
            <w:pBdr/>
            <w:spacing/>
            <w:ind/>
            <w:jc w:val="right"/>
            <w:rPr>
              <w:rFonts w:eastAsiaTheme="majorEastAsia" w:cstheme="minorHAnsi"/>
              <w:sz w:val="28"/>
              <w:szCs w:val="28"/>
            </w:rPr>
          </w:pPr>
          <w:r/>
          <w:sdt>
            <w:sdtPr>
              <w:alias w:val="Title"/>
              <w15:appearance w15:val="boundingBox"/>
              <w:id w:val="1531754254"/>
              <w:dataBinding w:prefixMappings="xmlns:ns0='http://schemas.openxmlformats.org/package/2006/metadata/core-properties' xmlns:ns1='http://purl.org/dc/elements/1.1/'" w:xpath="/ns0:coreProperties[1]/ns1:title[1]" w:storeItemID="{6C3C8BC8-F283-45AE-878A-BAB7291924A1}"/>
              <w:rPr>
                <w:rFonts w:eastAsiaTheme="majorEastAsia" w:cstheme="minorHAnsi"/>
                <w:sz w:val="28"/>
                <w:szCs w:val="28"/>
              </w:rPr>
            </w:sdtPr>
            <w:sdtContent>
              <w:r>
                <w:rPr>
                  <w:rFonts w:eastAsiaTheme="majorEastAsia" w:cstheme="minorHAnsi"/>
                  <w:sz w:val="28"/>
                  <w:szCs w:val="28"/>
                </w:rPr>
                <w:t xml:space="preserve">Northeast Montana Health Service – Poplar / Wolf Point, MT</w:t>
              </w:r>
            </w:sdtContent>
          </w:sdt>
          <w:r/>
          <w:r>
            <w:rPr>
              <w:rFonts w:eastAsiaTheme="majorEastAsia" w:cstheme="minorHAnsi"/>
              <w:sz w:val="28"/>
              <w:szCs w:val="28"/>
            </w:rPr>
          </w:r>
        </w:p>
      </w:tc>
      <w:tc>
        <w:tcPr>
          <w:tcBorders/>
          <w:tcW w:w="1905" w:type="dxa"/>
        </w:tcPr>
        <w:p w14:paraId="3B26F928" w14:textId="12563A87">
          <w:pPr>
            <w:pStyle w:val="1139"/>
            <w:pBdr/>
            <w:spacing/>
            <w:ind/>
            <w:rPr>
              <w:rFonts w:eastAsiaTheme="majorEastAsia" w:cstheme="minorHAnsi"/>
              <w:b/>
              <w:bCs/>
              <w:color w:val="ffca08" w:themeColor="accent1"/>
              <w:sz w:val="28"/>
              <w:szCs w:val="28"/>
            </w:rPr>
          </w:pPr>
          <w:r>
            <w:rPr>
              <w:rFonts w:eastAsiaTheme="majorEastAsia" w:cstheme="minorHAnsi"/>
              <w:b/>
              <w:bCs/>
              <w:color w:val="ffca08" w:themeColor="accent1"/>
              <w:sz w:val="28"/>
              <w:szCs w:val="28"/>
            </w:rPr>
            <w:t xml:space="preserve">2025</w:t>
          </w:r>
          <w:r>
            <w:rPr>
              <w:rFonts w:eastAsiaTheme="majorEastAsia" w:cstheme="minorHAnsi"/>
              <w:b/>
              <w:bCs/>
              <w:color w:val="ffca08" w:themeColor="accent1"/>
              <w:sz w:val="28"/>
              <w:szCs w:val="28"/>
            </w:rPr>
          </w:r>
        </w:p>
      </w:tc>
    </w:tr>
  </w:tbl>
  <w:p w14:paraId="3B63A7D5" w14:textId="2D8E9266">
    <w:pPr>
      <w:pStyle w:val="1139"/>
      <w:pBdr/>
      <w:spacing/>
      <w:ind/>
      <w:rPr/>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Ind w:w="-494" w:type="dxa"/>
      <w:tblW w:w="5280" w:type="pct"/>
      <w:tblCellMar>
        <w:left w:w="115" w:type="dxa"/>
        <w:top w:w="72" w:type="dxa"/>
        <w:right w:w="115" w:type="dxa"/>
        <w:bottom w:w="72" w:type="dxa"/>
      </w:tblCellMar>
      <w:tblBorders>
        <w:bottom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11804"/>
      <w:gridCol w:w="1882"/>
    </w:tblGrid>
    <w:tr>
      <w:trPr>
        <w:trHeight w:val="313"/>
      </w:trPr>
      <w:tc>
        <w:tcPr>
          <w:tcBorders/>
          <w:tcW w:w="12024" w:type="dxa"/>
        </w:tcPr>
        <w:p w14:paraId="77B8C354" w14:textId="7A5D58D7">
          <w:pPr>
            <w:pStyle w:val="1139"/>
            <w:pBdr/>
            <w:spacing/>
            <w:ind/>
            <w:jc w:val="right"/>
            <w:rPr>
              <w:rFonts w:eastAsiaTheme="majorEastAsia" w:cstheme="minorHAnsi"/>
              <w:sz w:val="28"/>
              <w:szCs w:val="28"/>
            </w:rPr>
          </w:pPr>
          <w:r/>
          <w:sdt>
            <w:sdtPr>
              <w:alias w:val="Title"/>
              <w15:appearance w15:val="boundingBox"/>
              <w:id w:val="-696464427"/>
              <w:dataBinding w:prefixMappings="xmlns:ns0='http://schemas.openxmlformats.org/package/2006/metadata/core-properties' xmlns:ns1='http://purl.org/dc/elements/1.1/'" w:xpath="/ns0:coreProperties[1]/ns1:title[1]" w:storeItemID="{6C3C8BC8-F283-45AE-878A-BAB7291924A1}"/>
              <w:rPr>
                <w:rFonts w:eastAsiaTheme="majorEastAsia" w:cstheme="minorHAnsi"/>
                <w:sz w:val="28"/>
                <w:szCs w:val="28"/>
              </w:rPr>
            </w:sdtPr>
            <w:sdtContent>
              <w:r>
                <w:rPr>
                  <w:rFonts w:eastAsiaTheme="majorEastAsia" w:cstheme="minorHAnsi"/>
                  <w:sz w:val="28"/>
                  <w:szCs w:val="28"/>
                </w:rPr>
                <w:t xml:space="preserve">Northeast Montana Health Service</w:t>
              </w:r>
              <w:r>
                <w:rPr>
                  <w:rFonts w:eastAsiaTheme="majorEastAsia" w:cstheme="minorHAnsi"/>
                  <w:sz w:val="28"/>
                  <w:szCs w:val="28"/>
                </w:rPr>
                <w:t xml:space="preserve"> </w:t>
              </w:r>
              <w:r>
                <w:rPr>
                  <w:rFonts w:eastAsiaTheme="majorEastAsia" w:cstheme="minorHAnsi"/>
                  <w:sz w:val="28"/>
                  <w:szCs w:val="28"/>
                </w:rPr>
                <w:t xml:space="preserve">– Poplar </w:t>
              </w:r>
              <w:r>
                <w:rPr>
                  <w:rFonts w:eastAsiaTheme="majorEastAsia" w:cstheme="minorHAnsi"/>
                  <w:sz w:val="28"/>
                  <w:szCs w:val="28"/>
                </w:rPr>
                <w:t xml:space="preserve">/</w:t>
              </w:r>
              <w:r>
                <w:rPr>
                  <w:rFonts w:eastAsiaTheme="majorEastAsia" w:cstheme="minorHAnsi"/>
                  <w:sz w:val="28"/>
                  <w:szCs w:val="28"/>
                </w:rPr>
                <w:t xml:space="preserve"> Wolf Point, MT</w:t>
              </w:r>
            </w:sdtContent>
          </w:sdt>
          <w:r/>
          <w:r>
            <w:rPr>
              <w:rFonts w:eastAsiaTheme="majorEastAsia" w:cstheme="minorHAnsi"/>
              <w:sz w:val="28"/>
              <w:szCs w:val="28"/>
            </w:rPr>
          </w:r>
        </w:p>
      </w:tc>
      <w:tc>
        <w:tcPr>
          <w:tcBorders/>
          <w:tcW w:w="1905" w:type="dxa"/>
        </w:tcPr>
        <w:p w14:paraId="062A6914" w14:textId="0751465E">
          <w:pPr>
            <w:pStyle w:val="1139"/>
            <w:pBdr/>
            <w:spacing/>
            <w:ind/>
            <w:rPr>
              <w:rFonts w:eastAsiaTheme="majorEastAsia" w:cstheme="minorHAnsi"/>
              <w:b/>
              <w:bCs/>
              <w:color w:val="ffca08" w:themeColor="accent1"/>
              <w:sz w:val="28"/>
              <w:szCs w:val="28"/>
            </w:rPr>
          </w:pPr>
          <w:r>
            <w:rPr>
              <w:rFonts w:eastAsiaTheme="majorEastAsia" w:cstheme="minorHAnsi"/>
              <w:b/>
              <w:bCs/>
              <w:color w:val="ffca08" w:themeColor="accent1"/>
              <w:sz w:val="28"/>
              <w:szCs w:val="28"/>
            </w:rPr>
            <w:t xml:space="preserve">2025</w:t>
          </w:r>
          <w:r>
            <w:rPr>
              <w:rFonts w:eastAsiaTheme="majorEastAsia" w:cstheme="minorHAnsi"/>
              <w:b/>
              <w:bCs/>
              <w:color w:val="ffca08" w:themeColor="accent1"/>
              <w:sz w:val="28"/>
              <w:szCs w:val="28"/>
            </w:rPr>
          </w:r>
        </w:p>
      </w:tc>
    </w:tr>
  </w:tbl>
  <w:p w14:paraId="4B2C1D83" w14:textId="009CDB3F">
    <w:pPr>
      <w:pStyle w:val="1139"/>
      <w:pBdr/>
      <w:spacing/>
      <w:ind/>
      <w:rPr/>
    </w:pPr>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A7D2106" w14:textId="6362B6A4">
    <w:pPr>
      <w:pStyle w:val="1139"/>
      <w:pBdr/>
      <w:spacing/>
      <w:ind/>
      <w:rPr/>
    </w:pPr>
    <w: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Ind w:w="-494" w:type="dxa"/>
      <w:tblW w:w="5280" w:type="pct"/>
      <w:tblCellMar>
        <w:left w:w="115" w:type="dxa"/>
        <w:top w:w="72" w:type="dxa"/>
        <w:right w:w="115" w:type="dxa"/>
        <w:bottom w:w="72" w:type="dxa"/>
      </w:tblCellMar>
      <w:tblBorders>
        <w:bottom w:val="single" w:color="808080" w:themeColor="background1" w:themeShade="80" w:sz="18" w:space="0"/>
        <w:insideV w:val="single" w:color="808080" w:themeColor="background1" w:themeShade="80" w:sz="18" w:space="0"/>
      </w:tblBorders>
      <w:tblLook w:val="04A0" w:firstRow="1" w:lastRow="0" w:firstColumn="1" w:lastColumn="0" w:noHBand="0" w:noVBand="1"/>
    </w:tblPr>
    <w:tblGrid>
      <w:gridCol w:w="11804"/>
      <w:gridCol w:w="1882"/>
    </w:tblGrid>
    <w:tr>
      <w:trPr>
        <w:trHeight w:val="313"/>
      </w:trPr>
      <w:tc>
        <w:tcPr>
          <w:tcBorders/>
          <w:tcW w:w="12024" w:type="dxa"/>
        </w:tcPr>
        <w:p w14:paraId="037D08C6" w14:textId="1D9870D0">
          <w:pPr>
            <w:pStyle w:val="1139"/>
            <w:pBdr/>
            <w:spacing/>
            <w:ind/>
            <w:jc w:val="right"/>
            <w:rPr>
              <w:rFonts w:asciiTheme="majorHAnsi" w:hAnsiTheme="majorHAnsi" w:eastAsiaTheme="majorEastAsia" w:cstheme="majorBidi"/>
              <w:sz w:val="28"/>
              <w:szCs w:val="28"/>
            </w:rPr>
          </w:pPr>
          <w:r/>
          <w:sdt>
            <w:sdtPr>
              <w:alias w:val="Title"/>
              <w15:appearance w15:val="boundingBox"/>
              <w:id w:val="659894858"/>
              <w:dataBinding w:prefixMappings="xmlns:ns0='http://schemas.openxmlformats.org/package/2006/metadata/core-properties' xmlns:ns1='http://purl.org/dc/elements/1.1/'" w:xpath="/ns0:coreProperties[1]/ns1:title[1]" w:storeItemID="{6C3C8BC8-F283-45AE-878A-BAB7291924A1}"/>
              <w:rPr>
                <w:rFonts w:ascii="Times New Roman" w:hAnsi="Times New Roman" w:cs="Times New Roman" w:eastAsiaTheme="majorEastAsia"/>
                <w:sz w:val="28"/>
                <w:szCs w:val="28"/>
              </w:rPr>
            </w:sdtPr>
            <w:sdtContent>
              <w:r>
                <w:rPr>
                  <w:rFonts w:ascii="Times New Roman" w:hAnsi="Times New Roman" w:cs="Times New Roman" w:eastAsiaTheme="majorEastAsia"/>
                  <w:sz w:val="28"/>
                  <w:szCs w:val="28"/>
                </w:rPr>
                <w:t xml:space="preserve">Northeast Montana Health Service – Poplar / Wolf Point, MT</w:t>
              </w:r>
            </w:sdtContent>
          </w:sdt>
          <w:r/>
          <w:r>
            <w:rPr>
              <w:rFonts w:asciiTheme="majorHAnsi" w:hAnsiTheme="majorHAnsi" w:eastAsiaTheme="majorEastAsia" w:cstheme="majorBidi"/>
              <w:sz w:val="28"/>
              <w:szCs w:val="28"/>
            </w:rPr>
          </w:r>
        </w:p>
      </w:tc>
      <w:tc>
        <w:tcPr>
          <w:tcBorders/>
          <w:tcW w:w="1905" w:type="dxa"/>
        </w:tcPr>
        <w:p w14:paraId="6EC6412F" w14:textId="6761C4BA">
          <w:pPr>
            <w:pStyle w:val="1139"/>
            <w:pBdr/>
            <w:spacing/>
            <w:ind/>
            <w:rPr>
              <w:rFonts w:asciiTheme="majorHAnsi" w:hAnsiTheme="majorHAnsi" w:eastAsiaTheme="majorEastAsia" w:cstheme="majorBidi"/>
              <w:b/>
              <w:bCs/>
              <w:color w:val="ffca08" w:themeColor="accent1"/>
              <w:sz w:val="28"/>
              <w:szCs w:val="28"/>
            </w:rPr>
          </w:pPr>
          <w:r>
            <w:rPr>
              <w:rFonts w:ascii="Times New Roman" w:hAnsi="Times New Roman" w:cs="Times New Roman" w:eastAsiaTheme="majorEastAsia"/>
              <w:b/>
              <w:bCs/>
              <w:color w:val="ffca08" w:themeColor="accent1"/>
              <w:sz w:val="28"/>
              <w:szCs w:val="28"/>
            </w:rPr>
            <w:t xml:space="preserve">2025</w:t>
          </w:r>
          <w:r>
            <w:rPr>
              <w:rFonts w:asciiTheme="majorHAnsi" w:hAnsiTheme="majorHAnsi" w:eastAsiaTheme="majorEastAsia" w:cstheme="majorBidi"/>
              <w:b/>
              <w:bCs/>
              <w:color w:val="ffca08" w:themeColor="accent1"/>
              <w:sz w:val="28"/>
              <w:szCs w:val="28"/>
            </w:rPr>
          </w:r>
        </w:p>
      </w:tc>
    </w:tr>
  </w:tbl>
  <w:p w14:paraId="3FFE10AE" w14:textId="33AF3594">
    <w:pPr>
      <w:pStyle w:val="1139"/>
      <w:pBdr/>
      <w:spacing/>
      <w:ind/>
      <w:rPr/>
    </w:pPr>
    <w:r/>
    <w:r/>
  </w:p>
  <w:p w14:paraId="10D2BFAD" w14:textId="77777777">
    <w:pPr>
      <w:pStyle w:val="1139"/>
      <w:pBdr/>
      <w:spacing/>
      <w:ind/>
      <w:jc w:val="center"/>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24A1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33D796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0EC96F5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1DA0AB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197846C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1DE03F60"/>
    <w:lvl w:ilvl="0">
      <w:isLgl w:val="false"/>
      <w:lvlJc w:val="left"/>
      <w:lvlText w:val="%1."/>
      <w:numFmt w:val="decimal"/>
      <w:pPr>
        <w:pBdr/>
        <w:spacing/>
        <w:ind w:hanging="360" w:left="720"/>
      </w:pPr>
      <w:rPr>
        <w:rFonts w:hint="default"/>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2025593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3009A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224909EF"/>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229A2226"/>
    <w:lvl w:ilvl="0">
      <w:isLgl w:val="false"/>
      <w:lvlJc w:val="left"/>
      <w:lvlText w:val="%1."/>
      <w:numFmt w:val="decimal"/>
      <w:pPr>
        <w:pBdr/>
        <w:spacing/>
        <w:ind w:hanging="360" w:left="720"/>
      </w:pPr>
      <w:rPr>
        <w:rFonts w:hint="default" w:cstheme="minorHAnsi"/>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28DF2704"/>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1">
    <w:nsid w:val="32C62315"/>
    <w:lvl w:ilvl="0">
      <w:isLgl w:val="false"/>
      <w:lvlJc w:val="left"/>
      <w:lvlText w:val="-"/>
      <w:numFmt w:val="bullet"/>
      <w:pPr>
        <w:pBdr/>
        <w:spacing/>
        <w:ind w:hanging="360" w:left="540"/>
      </w:pPr>
      <w:rPr>
        <w:rFonts w:hint="default" w:ascii="Times New Roman" w:hAnsi="Times New Roman" w:cs="Times New Roman" w:eastAsiaTheme="minorEastAsia"/>
      </w:rPr>
      <w:start w:val="18"/>
      <w:suff w:val="tab"/>
    </w:lvl>
    <w:lvl w:ilvl="1">
      <w:isLgl w:val="false"/>
      <w:lvlJc w:val="left"/>
      <w:lvlText w:val="o"/>
      <w:numFmt w:val="bullet"/>
      <w:pPr>
        <w:pBdr/>
        <w:spacing/>
        <w:ind w:hanging="360" w:left="1260"/>
      </w:pPr>
      <w:rPr>
        <w:rFonts w:hint="default" w:ascii="Courier New" w:hAnsi="Courier New" w:cs="Courier New"/>
      </w:rPr>
      <w:start w:val="1"/>
      <w:suff w:val="tab"/>
    </w:lvl>
    <w:lvl w:ilvl="2">
      <w:isLgl w:val="false"/>
      <w:lvlJc w:val="left"/>
      <w:lvlText w:val=""/>
      <w:numFmt w:val="bullet"/>
      <w:pPr>
        <w:pBdr/>
        <w:spacing/>
        <w:ind w:hanging="360" w:left="1980"/>
      </w:pPr>
      <w:rPr>
        <w:rFonts w:hint="default" w:ascii="Wingdings" w:hAnsi="Wingdings"/>
      </w:rPr>
      <w:start w:val="1"/>
      <w:suff w:val="tab"/>
    </w:lvl>
    <w:lvl w:ilvl="3">
      <w:isLgl w:val="false"/>
      <w:lvlJc w:val="left"/>
      <w:lvlText w:val=""/>
      <w:numFmt w:val="bullet"/>
      <w:pPr>
        <w:pBdr/>
        <w:spacing/>
        <w:ind w:hanging="360" w:left="2700"/>
      </w:pPr>
      <w:rPr>
        <w:rFonts w:hint="default" w:ascii="Symbol" w:hAnsi="Symbol"/>
      </w:rPr>
      <w:start w:val="1"/>
      <w:suff w:val="tab"/>
    </w:lvl>
    <w:lvl w:ilvl="4">
      <w:isLgl w:val="false"/>
      <w:lvlJc w:val="left"/>
      <w:lvlText w:val="o"/>
      <w:numFmt w:val="bullet"/>
      <w:pPr>
        <w:pBdr/>
        <w:spacing/>
        <w:ind w:hanging="360" w:left="3420"/>
      </w:pPr>
      <w:rPr>
        <w:rFonts w:hint="default" w:ascii="Courier New" w:hAnsi="Courier New" w:cs="Courier New"/>
      </w:rPr>
      <w:start w:val="1"/>
      <w:suff w:val="tab"/>
    </w:lvl>
    <w:lvl w:ilvl="5">
      <w:isLgl w:val="false"/>
      <w:lvlJc w:val="left"/>
      <w:lvlText w:val=""/>
      <w:numFmt w:val="bullet"/>
      <w:pPr>
        <w:pBdr/>
        <w:spacing/>
        <w:ind w:hanging="360" w:left="4140"/>
      </w:pPr>
      <w:rPr>
        <w:rFonts w:hint="default" w:ascii="Wingdings" w:hAnsi="Wingdings"/>
      </w:rPr>
      <w:start w:val="1"/>
      <w:suff w:val="tab"/>
    </w:lvl>
    <w:lvl w:ilvl="6">
      <w:isLgl w:val="false"/>
      <w:lvlJc w:val="left"/>
      <w:lvlText w:val=""/>
      <w:numFmt w:val="bullet"/>
      <w:pPr>
        <w:pBdr/>
        <w:spacing/>
        <w:ind w:hanging="360" w:left="4860"/>
      </w:pPr>
      <w:rPr>
        <w:rFonts w:hint="default" w:ascii="Symbol" w:hAnsi="Symbol"/>
      </w:rPr>
      <w:start w:val="1"/>
      <w:suff w:val="tab"/>
    </w:lvl>
    <w:lvl w:ilvl="7">
      <w:isLgl w:val="false"/>
      <w:lvlJc w:val="left"/>
      <w:lvlText w:val="o"/>
      <w:numFmt w:val="bullet"/>
      <w:pPr>
        <w:pBdr/>
        <w:spacing/>
        <w:ind w:hanging="360" w:left="5580"/>
      </w:pPr>
      <w:rPr>
        <w:rFonts w:hint="default" w:ascii="Courier New" w:hAnsi="Courier New" w:cs="Courier New"/>
      </w:rPr>
      <w:start w:val="1"/>
      <w:suff w:val="tab"/>
    </w:lvl>
    <w:lvl w:ilvl="8">
      <w:isLgl w:val="false"/>
      <w:lvlJc w:val="left"/>
      <w:lvlText w:val=""/>
      <w:numFmt w:val="bullet"/>
      <w:pPr>
        <w:pBdr/>
        <w:spacing/>
        <w:ind w:hanging="360" w:left="6300"/>
      </w:pPr>
      <w:rPr>
        <w:rFonts w:hint="default" w:ascii="Wingdings" w:hAnsi="Wingdings"/>
      </w:rPr>
      <w:start w:val="1"/>
      <w:suff w:val="tab"/>
    </w:lvl>
  </w:abstractNum>
  <w:abstractNum w:abstractNumId="12">
    <w:nsid w:val="344C0DF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
    <w:nsid w:val="356232F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710"/>
      </w:pPr>
      <w:rPr>
        <w:rFonts w:hint="default" w:ascii="Courier New" w:hAnsi="Courier New" w:cs="Courier New"/>
      </w:rPr>
      <w:start w:val="1"/>
      <w:suff w:val="tab"/>
    </w:lvl>
    <w:lvl w:ilvl="2">
      <w:isLgl w:val="false"/>
      <w:lvlJc w:val="left"/>
      <w:lvlText w:val=""/>
      <w:numFmt w:val="bullet"/>
      <w:pPr>
        <w:pBdr/>
        <w:spacing/>
        <w:ind w:hanging="360" w:left="2430"/>
      </w:pPr>
      <w:rPr>
        <w:rFonts w:hint="default" w:ascii="Wingdings" w:hAnsi="Wingdings"/>
      </w:rPr>
      <w:start w:val="1"/>
      <w:suff w:val="tab"/>
    </w:lvl>
    <w:lvl w:ilvl="3">
      <w:isLgl w:val="false"/>
      <w:lvlJc w:val="left"/>
      <w:lvlText w:val=""/>
      <w:numFmt w:val="bullet"/>
      <w:pPr>
        <w:pBdr/>
        <w:spacing/>
        <w:ind w:hanging="360" w:left="3150"/>
      </w:pPr>
      <w:rPr>
        <w:rFonts w:hint="default" w:ascii="Symbol" w:hAnsi="Symbol"/>
      </w:rPr>
      <w:start w:val="1"/>
      <w:suff w:val="tab"/>
    </w:lvl>
    <w:lvl w:ilvl="4">
      <w:isLgl w:val="false"/>
      <w:lvlJc w:val="left"/>
      <w:lvlText w:val="o"/>
      <w:numFmt w:val="bullet"/>
      <w:pPr>
        <w:pBdr/>
        <w:spacing/>
        <w:ind w:hanging="360" w:left="3870"/>
      </w:pPr>
      <w:rPr>
        <w:rFonts w:hint="default" w:ascii="Courier New" w:hAnsi="Courier New" w:cs="Courier New"/>
      </w:rPr>
      <w:start w:val="1"/>
      <w:suff w:val="tab"/>
    </w:lvl>
    <w:lvl w:ilvl="5">
      <w:isLgl w:val="false"/>
      <w:lvlJc w:val="left"/>
      <w:lvlText w:val=""/>
      <w:numFmt w:val="bullet"/>
      <w:pPr>
        <w:pBdr/>
        <w:spacing/>
        <w:ind w:hanging="360" w:left="4590"/>
      </w:pPr>
      <w:rPr>
        <w:rFonts w:hint="default" w:ascii="Wingdings" w:hAnsi="Wingdings"/>
      </w:rPr>
      <w:start w:val="1"/>
      <w:suff w:val="tab"/>
    </w:lvl>
    <w:lvl w:ilvl="6">
      <w:isLgl w:val="false"/>
      <w:lvlJc w:val="left"/>
      <w:lvlText w:val=""/>
      <w:numFmt w:val="bullet"/>
      <w:pPr>
        <w:pBdr/>
        <w:spacing/>
        <w:ind w:hanging="360" w:left="5310"/>
      </w:pPr>
      <w:rPr>
        <w:rFonts w:hint="default" w:ascii="Symbol" w:hAnsi="Symbol"/>
      </w:rPr>
      <w:start w:val="1"/>
      <w:suff w:val="tab"/>
    </w:lvl>
    <w:lvl w:ilvl="7">
      <w:isLgl w:val="false"/>
      <w:lvlJc w:val="left"/>
      <w:lvlText w:val="o"/>
      <w:numFmt w:val="bullet"/>
      <w:pPr>
        <w:pBdr/>
        <w:spacing/>
        <w:ind w:hanging="360" w:left="6030"/>
      </w:pPr>
      <w:rPr>
        <w:rFonts w:hint="default" w:ascii="Courier New" w:hAnsi="Courier New" w:cs="Courier New"/>
      </w:rPr>
      <w:start w:val="1"/>
      <w:suff w:val="tab"/>
    </w:lvl>
    <w:lvl w:ilvl="8">
      <w:isLgl w:val="false"/>
      <w:lvlJc w:val="left"/>
      <w:lvlText w:val=""/>
      <w:numFmt w:val="bullet"/>
      <w:pPr>
        <w:pBdr/>
        <w:spacing/>
        <w:ind w:hanging="360" w:left="6750"/>
      </w:pPr>
      <w:rPr>
        <w:rFonts w:hint="default" w:ascii="Wingdings" w:hAnsi="Wingdings"/>
      </w:rPr>
      <w:start w:val="1"/>
      <w:suff w:val="tab"/>
    </w:lvl>
  </w:abstractNum>
  <w:abstractNum w:abstractNumId="14">
    <w:nsid w:val="3D82728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nsid w:val="43531C9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52AE23EE"/>
    <w:lvl w:ilvl="0">
      <w:isLgl w:val="false"/>
      <w:lvlJc w:val="left"/>
      <w:lvlText w:val="%1."/>
      <w:numFmt w:val="decimal"/>
      <w:pPr>
        <w:pBdr/>
        <w:spacing/>
        <w:ind w:hanging="360" w:left="720"/>
      </w:pPr>
      <w:rPr>
        <w:rFonts w:hint="default"/>
      </w:rPr>
      <w:start w:val="1"/>
      <w:suff w:val="tab"/>
    </w:lvl>
    <w:lvl w:ilvl="1">
      <w:isLgl w:val="false"/>
      <w:lvlJc w:val="left"/>
      <w:lvlText w:val=""/>
      <w:numFmt w:val="bullet"/>
      <w:pPr>
        <w:pBdr/>
        <w:spacing/>
        <w:ind w:hanging="360" w:left="1440"/>
      </w:pPr>
      <w:rPr>
        <w:rFonts w:hint="default" w:ascii="Symbol" w:hAnsi="Symbol"/>
        <w:color w:val="auto"/>
      </w:rPr>
      <w:start w:val="1"/>
      <w:suff w:val="tab"/>
    </w:lvl>
    <w:lvl w:ilvl="2">
      <w:isLgl w:val="false"/>
      <w:lvlJc w:val="left"/>
      <w:lvlText w:val=""/>
      <w:numFmt w:val="bullet"/>
      <w:pPr>
        <w:pBdr/>
        <w:spacing/>
        <w:ind w:hanging="180" w:left="2160"/>
      </w:pPr>
      <w:rPr>
        <w:rFonts w:hint="default" w:ascii="Wingdings" w:hAnsi="Wingdings"/>
        <w:color w:val="auto"/>
        <w:spacing w:val="-4"/>
        <w:position w:val="0"/>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47F646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553D5DA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60CF21FD"/>
    <w:lvl w:ilvl="0">
      <w:isLgl w:val="false"/>
      <w:lvlJc w:val="left"/>
      <w:lvlText w:val="•"/>
      <w:numFmt w:val="bullet"/>
      <w:pPr>
        <w:pBdr/>
        <w:spacing/>
        <w:ind w:hanging="360" w:left="720"/>
      </w:pPr>
      <w:rPr>
        <w:rFonts w:hint="default" w:ascii="Calibri" w:hAnsi="Calibri" w:cs="Calibri" w:eastAsiaTheme="minorHAns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71BD3B0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767F31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22">
    <w:nsid w:val="76E1578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7F522E5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20"/>
  </w:num>
  <w:num w:numId="2">
    <w:abstractNumId w:val="1"/>
  </w:num>
  <w:num w:numId="3">
    <w:abstractNumId w:val="8"/>
  </w:num>
  <w:num w:numId="4">
    <w:abstractNumId w:val="16"/>
  </w:num>
  <w:num w:numId="5">
    <w:abstractNumId w:val="14"/>
  </w:num>
  <w:num w:numId="6">
    <w:abstractNumId w:val="3"/>
  </w:num>
  <w:num w:numId="7">
    <w:abstractNumId w:val="15"/>
  </w:num>
  <w:num w:numId="8">
    <w:abstractNumId w:val="17"/>
  </w:num>
  <w:num w:numId="9">
    <w:abstractNumId w:val="2"/>
  </w:num>
  <w:num w:numId="10">
    <w:abstractNumId w:val="13"/>
  </w:num>
  <w:num w:numId="11">
    <w:abstractNumId w:val="12"/>
  </w:num>
  <w:num w:numId="12">
    <w:abstractNumId w:val="5"/>
  </w:num>
  <w:num w:numId="13">
    <w:abstractNumId w:val="10"/>
  </w:num>
  <w:num w:numId="14">
    <w:abstractNumId w:val="0"/>
  </w:num>
  <w:num w:numId="15">
    <w:abstractNumId w:val="18"/>
  </w:num>
  <w:num w:numId="16">
    <w:abstractNumId w:val="7"/>
  </w:num>
  <w:num w:numId="17">
    <w:abstractNumId w:val="19"/>
  </w:num>
  <w:num w:numId="18">
    <w:abstractNumId w:val="23"/>
  </w:num>
  <w:num w:numId="19">
    <w:abstractNumId w:val="4"/>
  </w:num>
  <w:num w:numId="20">
    <w:abstractNumId w:val="6"/>
  </w:num>
  <w:num w:numId="21">
    <w:abstractNumId w:val="21"/>
  </w:num>
  <w:num w:numId="22">
    <w:abstractNumId w:val="22"/>
  </w:num>
  <w:num w:numId="23">
    <w:abstractNumId w:val="1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113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3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3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3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3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3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3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3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3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3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3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3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fff4cd"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fff4cd"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3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3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3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3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3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3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3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fff4cd"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fff4cd"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3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3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3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3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3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3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3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fff5cf"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fff5cf"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ffce1c"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3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bbf79"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3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ce8d3f"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3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4a972"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3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e6482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3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9c6a6a"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fff4cd" w:themeFill="accent1" w:themeFillTint="34"/>
    </w:tblPr>
    <w:tcPr>
      <w:tcBorders/>
    </w:tcPr>
    <w:tblStylePr w:type="band1Horz">
      <w:pPr>
        <w:pBdr/>
        <w:spacing/>
        <w:ind/>
      </w:pPr>
      <w:tblPr>
        <w:tblBorders/>
      </w:tblPr>
      <w:tcPr>
        <w:shd w:val="clear" w:color="ffffff" w:themeColor="accent1" w:themeTint="75" w:fill="ffe78e" w:themeFill="accent1" w:themeFillTint="75"/>
        <w:tcBorders/>
      </w:tcPr>
    </w:tblStylePr>
    <w:tblStylePr w:type="band1Vert">
      <w:pPr>
        <w:pBdr/>
        <w:spacing/>
        <w:ind/>
      </w:pPr>
      <w:tblPr>
        <w:tblBorders/>
      </w:tblPr>
      <w:tcPr>
        <w:shd w:val="clear" w:color="ffffff" w:themeColor="accent1" w:themeTint="75" w:fill="ffe78e"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ffca08" w:themeFill="accent1"/>
        <w:tcBorders/>
      </w:tcPr>
    </w:tblStylePr>
    <w:tblStylePr w:type="firstRow">
      <w:rPr>
        <w:rFonts w:ascii="Arial" w:hAnsi="Arial"/>
        <w:b/>
        <w:color w:val="ffffff"/>
        <w:sz w:val="22"/>
      </w:rPr>
      <w:pPr>
        <w:pBdr/>
        <w:spacing/>
        <w:ind/>
      </w:pPr>
      <w:tblPr>
        <w:tblBorders/>
      </w:tblPr>
      <w:tcPr>
        <w:shd w:val="clear" w:color="ffffff" w:themeColor="accent1" w:fill="ffca08" w:themeFill="accent1"/>
        <w:tcBorders/>
      </w:tcPr>
    </w:tblStylePr>
    <w:tblStylePr w:type="lastCol">
      <w:rPr>
        <w:rFonts w:ascii="Arial" w:hAnsi="Arial"/>
        <w:b/>
        <w:color w:val="ffffff"/>
        <w:sz w:val="22"/>
      </w:rPr>
      <w:pPr>
        <w:pBdr/>
        <w:spacing/>
        <w:ind/>
      </w:pPr>
      <w:tblPr>
        <w:tblBorders/>
      </w:tblPr>
      <w:tcPr>
        <w:shd w:val="clear" w:color="ffffff" w:themeColor="accent1" w:fill="ffca08" w:themeFill="accent1"/>
        <w:tcBorders/>
      </w:tcPr>
    </w:tblStylePr>
    <w:tblStylePr w:type="lastRow">
      <w:rPr>
        <w:rFonts w:ascii="Arial" w:hAnsi="Arial"/>
        <w:b/>
        <w:color w:val="ffffff"/>
        <w:sz w:val="22"/>
      </w:rPr>
      <w:pPr>
        <w:pBdr/>
        <w:spacing/>
        <w:ind/>
      </w:pPr>
      <w:tblPr>
        <w:tblBorders/>
      </w:tblPr>
      <w:tcPr>
        <w:shd w:val="clear" w:color="ffffff" w:themeColor="accent1" w:fill="ffca08"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eead3" w:themeFill="accent2" w:themeFillTint="32"/>
    </w:tblPr>
    <w:tcPr>
      <w:tcBorders/>
    </w:tcPr>
    <w:tblStylePr w:type="band1Horz">
      <w:pPr>
        <w:pBdr/>
        <w:spacing/>
        <w:ind/>
      </w:pPr>
      <w:tblPr>
        <w:tblBorders/>
      </w:tblPr>
      <w:tcPr>
        <w:shd w:val="clear" w:color="ffffff" w:themeColor="accent2" w:themeTint="75" w:fill="fccd97" w:themeFill="accent2" w:themeFillTint="75"/>
        <w:tcBorders/>
      </w:tcPr>
    </w:tblStylePr>
    <w:tblStylePr w:type="band1Vert">
      <w:pPr>
        <w:pBdr/>
        <w:spacing/>
        <w:ind/>
      </w:pPr>
      <w:tblPr>
        <w:tblBorders/>
      </w:tblPr>
      <w:tcPr>
        <w:shd w:val="clear" w:color="ffffff" w:themeColor="accent2" w:themeTint="75" w:fill="fccd97"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f8931d" w:themeFill="accent2"/>
        <w:tcBorders/>
      </w:tcPr>
    </w:tblStylePr>
    <w:tblStylePr w:type="firstRow">
      <w:rPr>
        <w:rFonts w:ascii="Arial" w:hAnsi="Arial"/>
        <w:b/>
        <w:color w:val="ffffff"/>
        <w:sz w:val="22"/>
      </w:rPr>
      <w:pPr>
        <w:pBdr/>
        <w:spacing/>
        <w:ind/>
      </w:pPr>
      <w:tblPr>
        <w:tblBorders/>
      </w:tblPr>
      <w:tcPr>
        <w:shd w:val="clear" w:color="ffffff" w:themeColor="accent2" w:fill="f8931d" w:themeFill="accent2"/>
        <w:tcBorders/>
      </w:tcPr>
    </w:tblStylePr>
    <w:tblStylePr w:type="lastCol">
      <w:rPr>
        <w:rFonts w:ascii="Arial" w:hAnsi="Arial"/>
        <w:b/>
        <w:color w:val="ffffff"/>
        <w:sz w:val="22"/>
      </w:rPr>
      <w:pPr>
        <w:pBdr/>
        <w:spacing/>
        <w:ind/>
      </w:pPr>
      <w:tblPr>
        <w:tblBorders/>
      </w:tblPr>
      <w:tcPr>
        <w:shd w:val="clear" w:color="ffffff" w:themeColor="accent2" w:fill="f8931d" w:themeFill="accent2"/>
        <w:tcBorders/>
      </w:tcPr>
    </w:tblStylePr>
    <w:tblStylePr w:type="lastRow">
      <w:rPr>
        <w:rFonts w:ascii="Arial" w:hAnsi="Arial"/>
        <w:b/>
        <w:color w:val="ffffff"/>
        <w:sz w:val="22"/>
      </w:rPr>
      <w:pPr>
        <w:pBdr/>
        <w:spacing/>
        <w:ind/>
      </w:pPr>
      <w:tblPr>
        <w:tblBorders/>
      </w:tblPr>
      <w:tcPr>
        <w:shd w:val="clear" w:color="ffffff" w:themeColor="accent2" w:fill="f8931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f5e8d8" w:themeFill="accent3" w:themeFillTint="34"/>
    </w:tblPr>
    <w:tcPr>
      <w:tcBorders/>
    </w:tcPr>
    <w:tblStylePr w:type="band1Horz">
      <w:pPr>
        <w:pBdr/>
        <w:spacing/>
        <w:ind/>
      </w:pPr>
      <w:tblPr>
        <w:tblBorders/>
      </w:tblPr>
      <w:tcPr>
        <w:shd w:val="clear" w:color="ffffff" w:themeColor="accent3" w:themeTint="75" w:fill="e9cba6" w:themeFill="accent3" w:themeFillTint="75"/>
        <w:tcBorders/>
      </w:tcPr>
    </w:tblStylePr>
    <w:tblStylePr w:type="band1Vert">
      <w:pPr>
        <w:pBdr/>
        <w:spacing/>
        <w:ind/>
      </w:pPr>
      <w:tblPr>
        <w:tblBorders/>
      </w:tblPr>
      <w:tcPr>
        <w:shd w:val="clear" w:color="ffffff" w:themeColor="accent3" w:themeTint="75" w:fill="e9cba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ce8d3e" w:themeFill="accent3"/>
        <w:tcBorders/>
      </w:tcPr>
    </w:tblStylePr>
    <w:tblStylePr w:type="firstRow">
      <w:rPr>
        <w:rFonts w:ascii="Arial" w:hAnsi="Arial"/>
        <w:b/>
        <w:color w:val="ffffff"/>
        <w:sz w:val="22"/>
      </w:rPr>
      <w:pPr>
        <w:pBdr/>
        <w:spacing/>
        <w:ind/>
      </w:pPr>
      <w:tblPr>
        <w:tblBorders/>
      </w:tblPr>
      <w:tcPr>
        <w:shd w:val="clear" w:color="ffffff" w:themeColor="accent3" w:fill="ce8d3e" w:themeFill="accent3"/>
        <w:tcBorders/>
      </w:tcPr>
    </w:tblStylePr>
    <w:tblStylePr w:type="lastCol">
      <w:rPr>
        <w:rFonts w:ascii="Arial" w:hAnsi="Arial"/>
        <w:b/>
        <w:color w:val="ffffff"/>
        <w:sz w:val="22"/>
      </w:rPr>
      <w:pPr>
        <w:pBdr/>
        <w:spacing/>
        <w:ind/>
      </w:pPr>
      <w:tblPr>
        <w:tblBorders/>
      </w:tblPr>
      <w:tcPr>
        <w:shd w:val="clear" w:color="ffffff" w:themeColor="accent3" w:fill="ce8d3e" w:themeFill="accent3"/>
        <w:tcBorders/>
      </w:tcPr>
    </w:tblStylePr>
    <w:tblStylePr w:type="lastRow">
      <w:rPr>
        <w:rFonts w:ascii="Arial" w:hAnsi="Arial"/>
        <w:b/>
        <w:color w:val="ffffff"/>
        <w:sz w:val="22"/>
      </w:rPr>
      <w:pPr>
        <w:pBdr/>
        <w:spacing/>
        <w:ind/>
      </w:pPr>
      <w:tblPr>
        <w:tblBorders/>
      </w:tblPr>
      <w:tcPr>
        <w:shd w:val="clear" w:color="ffffff" w:themeColor="accent3" w:fill="ce8d3e"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be2cf" w:themeFill="accent4" w:themeFillTint="34"/>
    </w:tblPr>
    <w:tcPr>
      <w:tcBorders/>
    </w:tcPr>
    <w:tblStylePr w:type="band1Horz">
      <w:pPr>
        <w:pBdr/>
        <w:spacing/>
        <w:ind/>
      </w:pPr>
      <w:tblPr>
        <w:tblBorders/>
      </w:tblPr>
      <w:tcPr>
        <w:shd w:val="clear" w:color="ffffff" w:themeColor="accent4" w:themeTint="75" w:fill="f6bd94" w:themeFill="accent4" w:themeFillTint="75"/>
        <w:tcBorders/>
      </w:tcPr>
    </w:tblStylePr>
    <w:tblStylePr w:type="band1Vert">
      <w:pPr>
        <w:pBdr/>
        <w:spacing/>
        <w:ind/>
      </w:pPr>
      <w:tblPr>
        <w:tblBorders/>
      </w:tblPr>
      <w:tcPr>
        <w:shd w:val="clear" w:color="ffffff" w:themeColor="accent4" w:themeTint="75" w:fill="f6bd9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ec7016" w:themeFill="accent4"/>
        <w:tcBorders/>
      </w:tcPr>
    </w:tblStylePr>
    <w:tblStylePr w:type="firstRow">
      <w:rPr>
        <w:rFonts w:ascii="Arial" w:hAnsi="Arial"/>
        <w:b/>
        <w:color w:val="ffffff"/>
        <w:sz w:val="22"/>
      </w:rPr>
      <w:pPr>
        <w:pBdr/>
        <w:spacing/>
        <w:ind/>
      </w:pPr>
      <w:tblPr>
        <w:tblBorders/>
      </w:tblPr>
      <w:tcPr>
        <w:shd w:val="clear" w:color="ffffff" w:themeColor="accent4" w:fill="ec7016" w:themeFill="accent4"/>
        <w:tcBorders/>
      </w:tcPr>
    </w:tblStylePr>
    <w:tblStylePr w:type="lastCol">
      <w:rPr>
        <w:rFonts w:ascii="Arial" w:hAnsi="Arial"/>
        <w:b/>
        <w:color w:val="ffffff"/>
        <w:sz w:val="22"/>
      </w:rPr>
      <w:pPr>
        <w:pBdr/>
        <w:spacing/>
        <w:ind/>
      </w:pPr>
      <w:tblPr>
        <w:tblBorders/>
      </w:tblPr>
      <w:tcPr>
        <w:shd w:val="clear" w:color="ffffff" w:themeColor="accent4" w:fill="ec7016" w:themeFill="accent4"/>
        <w:tcBorders/>
      </w:tcPr>
    </w:tblStylePr>
    <w:tblStylePr w:type="lastRow">
      <w:rPr>
        <w:rFonts w:ascii="Arial" w:hAnsi="Arial"/>
        <w:b/>
        <w:color w:val="ffffff"/>
        <w:sz w:val="22"/>
      </w:rPr>
      <w:pPr>
        <w:pBdr/>
        <w:spacing/>
        <w:ind/>
      </w:pPr>
      <w:tblPr>
        <w:tblBorders/>
      </w:tblPr>
      <w:tcPr>
        <w:shd w:val="clear" w:color="ffffff" w:themeColor="accent4" w:fill="ec7016"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adad2" w:themeFill="accent5" w:themeFillTint="34"/>
    </w:tblPr>
    <w:tcPr>
      <w:tcBorders/>
    </w:tcPr>
    <w:tblStylePr w:type="band1Horz">
      <w:pPr>
        <w:pBdr/>
        <w:spacing/>
        <w:ind/>
      </w:pPr>
      <w:tblPr>
        <w:tblBorders/>
      </w:tblPr>
      <w:tcPr>
        <w:shd w:val="clear" w:color="ffffff" w:themeColor="accent5" w:themeTint="75" w:fill="f4ab9a" w:themeFill="accent5" w:themeFillTint="75"/>
        <w:tcBorders/>
      </w:tcPr>
    </w:tblStylePr>
    <w:tblStylePr w:type="band1Vert">
      <w:pPr>
        <w:pBdr/>
        <w:spacing/>
        <w:ind/>
      </w:pPr>
      <w:tblPr>
        <w:tblBorders/>
      </w:tblPr>
      <w:tcPr>
        <w:shd w:val="clear" w:color="ffffff" w:themeColor="accent5" w:themeTint="75" w:fill="f4ab9a"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e64823" w:themeFill="accent5"/>
        <w:tcBorders/>
      </w:tcPr>
    </w:tblStylePr>
    <w:tblStylePr w:type="firstRow">
      <w:rPr>
        <w:rFonts w:ascii="Arial" w:hAnsi="Arial"/>
        <w:b/>
        <w:color w:val="ffffff"/>
        <w:sz w:val="22"/>
      </w:rPr>
      <w:pPr>
        <w:pBdr/>
        <w:spacing/>
        <w:ind/>
      </w:pPr>
      <w:tblPr>
        <w:tblBorders/>
      </w:tblPr>
      <w:tcPr>
        <w:shd w:val="clear" w:color="ffffff" w:themeColor="accent5" w:fill="e64823" w:themeFill="accent5"/>
        <w:tcBorders/>
      </w:tcPr>
    </w:tblStylePr>
    <w:tblStylePr w:type="lastCol">
      <w:rPr>
        <w:rFonts w:ascii="Arial" w:hAnsi="Arial"/>
        <w:b/>
        <w:color w:val="ffffff"/>
        <w:sz w:val="22"/>
      </w:rPr>
      <w:pPr>
        <w:pBdr/>
        <w:spacing/>
        <w:ind/>
      </w:pPr>
      <w:tblPr>
        <w:tblBorders/>
      </w:tblPr>
      <w:tcPr>
        <w:shd w:val="clear" w:color="ffffff" w:themeColor="accent5" w:fill="e64823" w:themeFill="accent5"/>
        <w:tcBorders/>
      </w:tcPr>
    </w:tblStylePr>
    <w:tblStylePr w:type="lastRow">
      <w:rPr>
        <w:rFonts w:ascii="Arial" w:hAnsi="Arial"/>
        <w:b/>
        <w:color w:val="ffffff"/>
        <w:sz w:val="22"/>
      </w:rPr>
      <w:pPr>
        <w:pBdr/>
        <w:spacing/>
        <w:ind/>
      </w:pPr>
      <w:tblPr>
        <w:tblBorders/>
      </w:tblPr>
      <w:tcPr>
        <w:shd w:val="clear" w:color="ffffff" w:themeColor="accent5" w:fill="e6482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be1e1" w:themeFill="accent6" w:themeFillTint="34"/>
    </w:tblPr>
    <w:tcPr>
      <w:tcBorders/>
    </w:tcPr>
    <w:tblStylePr w:type="band1Horz">
      <w:pPr>
        <w:pBdr/>
        <w:spacing/>
        <w:ind/>
      </w:pPr>
      <w:tblPr>
        <w:tblBorders/>
      </w:tblPr>
      <w:tcPr>
        <w:shd w:val="clear" w:color="ffffff" w:themeColor="accent6" w:themeTint="75" w:fill="d2bbbb" w:themeFill="accent6" w:themeFillTint="75"/>
        <w:tcBorders/>
      </w:tcPr>
    </w:tblStylePr>
    <w:tblStylePr w:type="band1Vert">
      <w:pPr>
        <w:pBdr/>
        <w:spacing/>
        <w:ind/>
      </w:pPr>
      <w:tblPr>
        <w:tblBorders/>
      </w:tblPr>
      <w:tcPr>
        <w:shd w:val="clear" w:color="ffffff" w:themeColor="accent6" w:themeTint="75" w:fill="d2bbbb"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9c6a6a" w:themeFill="accent6"/>
        <w:tcBorders/>
      </w:tcPr>
    </w:tblStylePr>
    <w:tblStylePr w:type="firstRow">
      <w:rPr>
        <w:rFonts w:ascii="Arial" w:hAnsi="Arial"/>
        <w:b/>
        <w:color w:val="ffffff"/>
        <w:sz w:val="22"/>
      </w:rPr>
      <w:pPr>
        <w:pBdr/>
        <w:spacing/>
        <w:ind/>
      </w:pPr>
      <w:tblPr>
        <w:tblBorders/>
      </w:tblPr>
      <w:tcPr>
        <w:shd w:val="clear" w:color="ffffff" w:themeColor="accent6" w:fill="9c6a6a" w:themeFill="accent6"/>
        <w:tcBorders/>
      </w:tcPr>
    </w:tblStylePr>
    <w:tblStylePr w:type="lastCol">
      <w:rPr>
        <w:rFonts w:ascii="Arial" w:hAnsi="Arial"/>
        <w:b/>
        <w:color w:val="ffffff"/>
        <w:sz w:val="22"/>
      </w:rPr>
      <w:pPr>
        <w:pBdr/>
        <w:spacing/>
        <w:ind/>
      </w:pPr>
      <w:tblPr>
        <w:tblBorders/>
      </w:tblPr>
      <w:tcPr>
        <w:shd w:val="clear" w:color="ffffff" w:themeColor="accent6" w:fill="9c6a6a" w:themeFill="accent6"/>
        <w:tcBorders/>
      </w:tcPr>
    </w:tblStylePr>
    <w:tblStylePr w:type="lastRow">
      <w:rPr>
        <w:rFonts w:ascii="Arial" w:hAnsi="Arial"/>
        <w:b/>
        <w:color w:val="ffffff"/>
        <w:sz w:val="22"/>
      </w:rPr>
      <w:pPr>
        <w:pBdr/>
        <w:spacing/>
        <w:ind/>
      </w:pPr>
      <w:tblPr>
        <w:tblBorders/>
      </w:tblPr>
      <w:tcPr>
        <w:shd w:val="clear" w:color="ffffff" w:themeColor="accent6" w:fill="9c6a6a"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3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3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fff4cd" w:themeFill="accent1" w:themeFillTint="34"/>
        <w:tcBorders/>
      </w:tcPr>
    </w:tblStylePr>
    <w:tblStylePr w:type="band1Vert">
      <w:pPr>
        <w:pBdr/>
        <w:spacing/>
        <w:ind/>
      </w:pPr>
      <w:tblPr>
        <w:tblBorders/>
      </w:tblPr>
      <w:tcPr>
        <w:shd w:val="clear" w:color="ffffff" w:themeColor="accent1" w:themeTint="34" w:fill="fff4cd"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2b100" w:themeColor="accent1" w:themeTint="80" w:themeShade="95"/>
      </w:rPr>
      <w:pPr>
        <w:pBdr/>
        <w:spacing/>
        <w:ind/>
      </w:pPr>
      <w:tblPr>
        <w:tblBorders/>
      </w:tblPr>
      <w:tcPr>
        <w:tcBorders/>
      </w:tcPr>
    </w:tblStylePr>
    <w:tblStylePr w:type="firstRow">
      <w:rPr>
        <w:b/>
        <w:color w:val="e2b100" w:themeColor="accent1" w:themeTint="80" w:themeShade="95"/>
      </w:rPr>
      <w:pPr>
        <w:pBdr/>
        <w:spacing/>
        <w:ind/>
      </w:pPr>
      <w:tblPr>
        <w:tblBorders/>
      </w:tblPr>
      <w:tcPr>
        <w:tcBorders>
          <w:bottom w:val="single" w:color="000000" w:themeColor="accent1" w:themeTint="80" w:sz="12" w:space="0"/>
        </w:tcBorders>
      </w:tcPr>
    </w:tblStylePr>
    <w:tblStylePr w:type="lastCol">
      <w:rPr>
        <w:b/>
        <w:color w:val="e2b100" w:themeColor="accent1" w:themeTint="80" w:themeShade="95"/>
      </w:rPr>
      <w:pPr>
        <w:pBdr/>
        <w:spacing/>
        <w:ind/>
      </w:pPr>
      <w:tblPr>
        <w:tblBorders/>
      </w:tblPr>
      <w:tcPr>
        <w:tcBorders/>
      </w:tcPr>
    </w:tblStylePr>
    <w:tblStylePr w:type="lastRow">
      <w:rPr>
        <w:b/>
        <w:color w:val="e2b100"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3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eead3" w:themeFill="accent2" w:themeFillTint="32"/>
        <w:tcBorders/>
      </w:tcPr>
    </w:tblStylePr>
    <w:tblStylePr w:type="band1Vert">
      <w:pPr>
        <w:pBdr/>
        <w:spacing/>
        <w:ind/>
      </w:pPr>
      <w:tblPr>
        <w:tblBorders/>
      </w:tblPr>
      <w:tcPr>
        <w:shd w:val="clear" w:color="ffffff" w:themeColor="accent2" w:themeTint="32" w:fill="feead3"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37507" w:themeColor="accent2" w:themeTint="97" w:themeShade="95"/>
      </w:rPr>
      <w:pPr>
        <w:pBdr/>
        <w:spacing/>
        <w:ind/>
      </w:pPr>
      <w:tblPr>
        <w:tblBorders/>
      </w:tblPr>
      <w:tcPr>
        <w:tcBorders/>
      </w:tcPr>
    </w:tblStylePr>
    <w:tblStylePr w:type="firstRow">
      <w:rPr>
        <w:b/>
        <w:color w:val="d37507" w:themeColor="accent2" w:themeTint="97" w:themeShade="95"/>
      </w:rPr>
      <w:pPr>
        <w:pBdr/>
        <w:spacing/>
        <w:ind/>
      </w:pPr>
      <w:tblPr>
        <w:tblBorders/>
      </w:tblPr>
      <w:tcPr>
        <w:tcBorders>
          <w:bottom w:val="single" w:color="000000" w:themeColor="accent2" w:themeTint="97" w:sz="12" w:space="0"/>
        </w:tcBorders>
      </w:tcPr>
    </w:tblStylePr>
    <w:tblStylePr w:type="lastCol">
      <w:rPr>
        <w:b/>
        <w:color w:val="d37507" w:themeColor="accent2" w:themeTint="97" w:themeShade="95"/>
      </w:rPr>
      <w:pPr>
        <w:pBdr/>
        <w:spacing/>
        <w:ind/>
      </w:pPr>
      <w:tblPr>
        <w:tblBorders/>
      </w:tblPr>
      <w:tcPr>
        <w:tcBorders/>
      </w:tcPr>
    </w:tblStylePr>
    <w:tblStylePr w:type="lastRow">
      <w:rPr>
        <w:b/>
        <w:color w:val="d3750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3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f5e8d8" w:themeFill="accent3" w:themeFillTint="34"/>
        <w:tcBorders/>
      </w:tcPr>
    </w:tblStylePr>
    <w:tblStylePr w:type="band1Vert">
      <w:pPr>
        <w:pBdr/>
        <w:spacing/>
        <w:ind/>
      </w:pPr>
      <w:tblPr>
        <w:tblBorders/>
      </w:tblPr>
      <w:tcPr>
        <w:shd w:val="clear" w:color="ffffff" w:themeColor="accent3" w:themeTint="34" w:fill="f5e8d8"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d5320" w:themeColor="accent3" w:themeTint="FE" w:themeShade="95"/>
      </w:rPr>
      <w:pPr>
        <w:pBdr/>
        <w:spacing/>
        <w:ind/>
      </w:pPr>
      <w:tblPr>
        <w:tblBorders/>
      </w:tblPr>
      <w:tcPr>
        <w:tcBorders/>
      </w:tcPr>
    </w:tblStylePr>
    <w:tblStylePr w:type="firstRow">
      <w:rPr>
        <w:b/>
        <w:color w:val="7d5320" w:themeColor="accent3" w:themeTint="FE" w:themeShade="95"/>
      </w:rPr>
      <w:pPr>
        <w:pBdr/>
        <w:spacing/>
        <w:ind/>
      </w:pPr>
      <w:tblPr>
        <w:tblBorders/>
      </w:tblPr>
      <w:tcPr>
        <w:tcBorders>
          <w:bottom w:val="single" w:color="000000" w:themeColor="accent3" w:themeTint="FE" w:sz="12" w:space="0"/>
        </w:tcBorders>
      </w:tcPr>
    </w:tblStylePr>
    <w:tblStylePr w:type="lastCol">
      <w:rPr>
        <w:b/>
        <w:color w:val="7d5320" w:themeColor="accent3" w:themeTint="FE" w:themeShade="95"/>
      </w:rPr>
      <w:pPr>
        <w:pBdr/>
        <w:spacing/>
        <w:ind/>
      </w:pPr>
      <w:tblPr>
        <w:tblBorders/>
      </w:tblPr>
      <w:tcPr>
        <w:tcBorders/>
      </w:tcPr>
    </w:tblStylePr>
    <w:tblStylePr w:type="lastRow">
      <w:rPr>
        <w:b/>
        <w:color w:val="7d532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3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be2cf" w:themeFill="accent4" w:themeFillTint="34"/>
        <w:tcBorders/>
      </w:tcPr>
    </w:tblStylePr>
    <w:tblStylePr w:type="band1Vert">
      <w:pPr>
        <w:pBdr/>
        <w:spacing/>
        <w:ind/>
      </w:pPr>
      <w:tblPr>
        <w:tblBorders/>
      </w:tblPr>
      <w:tcPr>
        <w:shd w:val="clear" w:color="ffffff" w:themeColor="accent4" w:themeTint="34" w:fill="fbe2cf"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15a10" w:themeColor="accent4" w:themeTint="9A" w:themeShade="95"/>
      </w:rPr>
      <w:pPr>
        <w:pBdr/>
        <w:spacing/>
        <w:ind/>
      </w:pPr>
      <w:tblPr>
        <w:tblBorders/>
      </w:tblPr>
      <w:tcPr>
        <w:tcBorders/>
      </w:tcPr>
    </w:tblStylePr>
    <w:tblStylePr w:type="firstRow">
      <w:rPr>
        <w:b/>
        <w:color w:val="c15a10" w:themeColor="accent4" w:themeTint="9A" w:themeShade="95"/>
      </w:rPr>
      <w:pPr>
        <w:pBdr/>
        <w:spacing/>
        <w:ind/>
      </w:pPr>
      <w:tblPr>
        <w:tblBorders/>
      </w:tblPr>
      <w:tcPr>
        <w:tcBorders>
          <w:bottom w:val="single" w:color="000000" w:themeColor="accent4" w:themeTint="9A" w:sz="12" w:space="0"/>
        </w:tcBorders>
      </w:tcPr>
    </w:tblStylePr>
    <w:tblStylePr w:type="lastCol">
      <w:rPr>
        <w:b/>
        <w:color w:val="c15a10" w:themeColor="accent4" w:themeTint="9A" w:themeShade="95"/>
      </w:rPr>
      <w:pPr>
        <w:pBdr/>
        <w:spacing/>
        <w:ind/>
      </w:pPr>
      <w:tblPr>
        <w:tblBorders/>
      </w:tblPr>
      <w:tcPr>
        <w:tcBorders/>
      </w:tcPr>
    </w:tblStylePr>
    <w:tblStylePr w:type="lastRow">
      <w:rPr>
        <w:b/>
        <w:color w:val="c15a1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3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adad2" w:themeFill="accent5" w:themeFillTint="34"/>
        <w:tcBorders/>
      </w:tcPr>
    </w:tblStylePr>
    <w:tblStylePr w:type="band1Vert">
      <w:pPr>
        <w:pBdr/>
        <w:spacing/>
        <w:ind/>
      </w:pPr>
      <w:tblPr>
        <w:tblBorders/>
      </w:tblPr>
      <w:tcPr>
        <w:shd w:val="clear" w:color="ffffff" w:themeColor="accent5" w:themeTint="34" w:fill="fadad2"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b2710" w:themeColor="accent5" w:themeShade="95"/>
      </w:rPr>
      <w:pPr>
        <w:pBdr/>
        <w:spacing/>
        <w:ind/>
      </w:pPr>
      <w:tblPr>
        <w:tblBorders/>
      </w:tblPr>
      <w:tcPr>
        <w:tcBorders/>
      </w:tcPr>
    </w:tblStylePr>
    <w:tblStylePr w:type="firstRow">
      <w:rPr>
        <w:b/>
        <w:color w:val="8b2710" w:themeColor="accent5" w:themeShade="95"/>
      </w:rPr>
      <w:pPr>
        <w:pBdr/>
        <w:spacing/>
        <w:ind/>
      </w:pPr>
      <w:tblPr>
        <w:tblBorders/>
      </w:tblPr>
      <w:tcPr>
        <w:tcBorders>
          <w:bottom w:val="single" w:color="000000" w:themeColor="accent5" w:sz="12" w:space="0"/>
        </w:tcBorders>
      </w:tcPr>
    </w:tblStylePr>
    <w:tblStylePr w:type="lastCol">
      <w:rPr>
        <w:b/>
        <w:color w:val="8b2710" w:themeColor="accent5" w:themeShade="95"/>
      </w:rPr>
      <w:pPr>
        <w:pBdr/>
        <w:spacing/>
        <w:ind/>
      </w:pPr>
      <w:tblPr>
        <w:tblBorders/>
      </w:tblPr>
      <w:tcPr>
        <w:tcBorders/>
      </w:tcPr>
    </w:tblStylePr>
    <w:tblStylePr w:type="lastRow">
      <w:rPr>
        <w:b/>
        <w:color w:val="8b271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3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be1e1" w:themeFill="accent6" w:themeFillTint="34"/>
        <w:tcBorders/>
      </w:tcPr>
    </w:tblStylePr>
    <w:tblStylePr w:type="band1Vert">
      <w:pPr>
        <w:pBdr/>
        <w:spacing/>
        <w:ind/>
      </w:pPr>
      <w:tblPr>
        <w:tblBorders/>
      </w:tblPr>
      <w:tcPr>
        <w:shd w:val="clear" w:color="ffffff" w:themeColor="accent6" w:themeTint="34" w:fill="ebe1e1"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b2710" w:themeColor="accent5" w:themeShade="95"/>
      </w:rPr>
      <w:pPr>
        <w:pBdr/>
        <w:spacing/>
        <w:ind/>
      </w:pPr>
      <w:tblPr>
        <w:tblBorders/>
      </w:tblPr>
      <w:tcPr>
        <w:tcBorders/>
      </w:tcPr>
    </w:tblStylePr>
    <w:tblStylePr w:type="firstRow">
      <w:rPr>
        <w:b/>
        <w:color w:val="8b2710" w:themeColor="accent5" w:themeShade="95"/>
      </w:rPr>
      <w:pPr>
        <w:pBdr/>
        <w:spacing/>
        <w:ind/>
      </w:pPr>
      <w:tblPr>
        <w:tblBorders/>
      </w:tblPr>
      <w:tcPr>
        <w:tcBorders>
          <w:bottom w:val="single" w:color="000000" w:themeColor="accent6" w:sz="12" w:space="0"/>
        </w:tcBorders>
      </w:tcPr>
    </w:tblStylePr>
    <w:tblStylePr w:type="lastCol">
      <w:rPr>
        <w:b/>
        <w:color w:val="8b2710" w:themeColor="accent5" w:themeShade="95"/>
      </w:rPr>
      <w:pPr>
        <w:pBdr/>
        <w:spacing/>
        <w:ind/>
      </w:pPr>
      <w:tblPr>
        <w:tblBorders/>
      </w:tblPr>
      <w:tcPr>
        <w:tcBorders/>
      </w:tcPr>
    </w:tblStylePr>
    <w:tblStylePr w:type="lastRow">
      <w:rPr>
        <w:b/>
        <w:color w:val="8b271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3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3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e2b100" w:themeColor="accent1" w:themeTint="80" w:themeShade="95"/>
        <w:sz w:val="22"/>
      </w:rPr>
      <w:pPr>
        <w:pBdr/>
        <w:spacing/>
        <w:ind/>
      </w:pPr>
      <w:tblPr>
        <w:tblBorders/>
      </w:tblPr>
      <w:tcPr>
        <w:shd w:val="clear" w:color="ffffff" w:themeColor="accent1" w:themeTint="34" w:fill="fff4cd" w:themeFill="accent1" w:themeFillTint="34"/>
        <w:tcBorders/>
      </w:tcPr>
    </w:tblStylePr>
    <w:tblStylePr w:type="band1Vert">
      <w:pPr>
        <w:pBdr/>
        <w:spacing/>
        <w:ind/>
      </w:pPr>
      <w:tblPr>
        <w:tblBorders/>
      </w:tblPr>
      <w:tcPr>
        <w:shd w:val="clear" w:color="ffffff" w:themeColor="accent1" w:themeTint="34" w:fill="fff4cd" w:themeFill="accent1" w:themeFillTint="34"/>
        <w:tcBorders/>
      </w:tcPr>
    </w:tblStylePr>
    <w:tblStylePr w:type="band2Horz">
      <w:rPr>
        <w:rFonts w:ascii="Arial" w:hAnsi="Arial"/>
        <w:color w:val="e2b10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2b100"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e2b100"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e2b100"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e2b100"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3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d37507" w:themeColor="accent2" w:themeTint="97" w:themeShade="95"/>
        <w:sz w:val="22"/>
      </w:rPr>
      <w:pPr>
        <w:pBdr/>
        <w:spacing/>
        <w:ind/>
      </w:pPr>
      <w:tblPr>
        <w:tblBorders/>
      </w:tblPr>
      <w:tcPr>
        <w:shd w:val="clear" w:color="ffffff" w:themeColor="accent2" w:themeTint="32" w:fill="feead3" w:themeFill="accent2" w:themeFillTint="32"/>
        <w:tcBorders/>
      </w:tcPr>
    </w:tblStylePr>
    <w:tblStylePr w:type="band1Vert">
      <w:pPr>
        <w:pBdr/>
        <w:spacing/>
        <w:ind/>
      </w:pPr>
      <w:tblPr>
        <w:tblBorders/>
      </w:tblPr>
      <w:tcPr>
        <w:shd w:val="clear" w:color="ffffff" w:themeColor="accent2" w:themeTint="32" w:fill="feead3" w:themeFill="accent2" w:themeFillTint="32"/>
        <w:tcBorders/>
      </w:tcPr>
    </w:tblStylePr>
    <w:tblStylePr w:type="band2Horz">
      <w:rPr>
        <w:rFonts w:ascii="Arial" w:hAnsi="Arial"/>
        <w:color w:val="d3750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3750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d3750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d3750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d3750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3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7d5320" w:themeColor="accent3" w:themeTint="FE" w:themeShade="95"/>
        <w:sz w:val="22"/>
      </w:rPr>
      <w:pPr>
        <w:pBdr/>
        <w:spacing/>
        <w:ind/>
      </w:pPr>
      <w:tblPr>
        <w:tblBorders/>
      </w:tblPr>
      <w:tcPr>
        <w:shd w:val="clear" w:color="ffffff" w:themeColor="accent3" w:themeTint="34" w:fill="f5e8d8" w:themeFill="accent3" w:themeFillTint="34"/>
        <w:tcBorders/>
      </w:tcPr>
    </w:tblStylePr>
    <w:tblStylePr w:type="band1Vert">
      <w:pPr>
        <w:pBdr/>
        <w:spacing/>
        <w:ind/>
      </w:pPr>
      <w:tblPr>
        <w:tblBorders/>
      </w:tblPr>
      <w:tcPr>
        <w:shd w:val="clear" w:color="ffffff" w:themeColor="accent3" w:themeTint="34" w:fill="f5e8d8" w:themeFill="accent3" w:themeFillTint="34"/>
        <w:tcBorders/>
      </w:tcPr>
    </w:tblStylePr>
    <w:tblStylePr w:type="band2Horz">
      <w:rPr>
        <w:rFonts w:ascii="Arial" w:hAnsi="Arial"/>
        <w:color w:val="7d532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d532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7d532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7d532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7d532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3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15a10" w:themeColor="accent4" w:themeTint="9A" w:themeShade="95"/>
        <w:sz w:val="22"/>
      </w:rPr>
      <w:pPr>
        <w:pBdr/>
        <w:spacing/>
        <w:ind/>
      </w:pPr>
      <w:tblPr>
        <w:tblBorders/>
      </w:tblPr>
      <w:tcPr>
        <w:shd w:val="clear" w:color="ffffff" w:themeColor="accent4" w:themeTint="34" w:fill="fbe2cf" w:themeFill="accent4" w:themeFillTint="34"/>
        <w:tcBorders/>
      </w:tcPr>
    </w:tblStylePr>
    <w:tblStylePr w:type="band1Vert">
      <w:pPr>
        <w:pBdr/>
        <w:spacing/>
        <w:ind/>
      </w:pPr>
      <w:tblPr>
        <w:tblBorders/>
      </w:tblPr>
      <w:tcPr>
        <w:shd w:val="clear" w:color="ffffff" w:themeColor="accent4" w:themeTint="34" w:fill="fbe2cf" w:themeFill="accent4" w:themeFillTint="34"/>
        <w:tcBorders/>
      </w:tcPr>
    </w:tblStylePr>
    <w:tblStylePr w:type="band2Horz">
      <w:rPr>
        <w:rFonts w:ascii="Arial" w:hAnsi="Arial"/>
        <w:color w:val="c15a1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15a1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c15a1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15a1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c15a1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3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8b2710" w:themeColor="accent5" w:themeShade="95"/>
        <w:sz w:val="22"/>
      </w:rPr>
      <w:pPr>
        <w:pBdr/>
        <w:spacing/>
        <w:ind/>
      </w:pPr>
      <w:tblPr>
        <w:tblBorders/>
      </w:tblPr>
      <w:tcPr>
        <w:shd w:val="clear" w:color="ffffff" w:themeColor="accent5" w:themeTint="34" w:fill="fadad2" w:themeFill="accent5" w:themeFillTint="34"/>
        <w:tcBorders/>
      </w:tcPr>
    </w:tblStylePr>
    <w:tblStylePr w:type="band1Vert">
      <w:pPr>
        <w:pBdr/>
        <w:spacing/>
        <w:ind/>
      </w:pPr>
      <w:tblPr>
        <w:tblBorders/>
      </w:tblPr>
      <w:tcPr>
        <w:shd w:val="clear" w:color="ffffff" w:themeColor="accent5" w:themeTint="34" w:fill="fadad2" w:themeFill="accent5" w:themeFillTint="34"/>
        <w:tcBorders/>
      </w:tcPr>
    </w:tblStylePr>
    <w:tblStylePr w:type="band2Horz">
      <w:rPr>
        <w:rFonts w:ascii="Arial" w:hAnsi="Arial"/>
        <w:color w:val="8b271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b2710"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8b2710"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8b2710"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8b2710"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3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5c3d3d" w:themeColor="accent6" w:themeShade="95"/>
        <w:sz w:val="22"/>
      </w:rPr>
      <w:pPr>
        <w:pBdr/>
        <w:spacing/>
        <w:ind/>
      </w:pPr>
      <w:tblPr>
        <w:tblBorders/>
      </w:tblPr>
      <w:tcPr>
        <w:shd w:val="clear" w:color="ffffff" w:themeColor="accent6" w:themeTint="34" w:fill="ebe1e1" w:themeFill="accent6" w:themeFillTint="34"/>
        <w:tcBorders/>
      </w:tcPr>
    </w:tblStylePr>
    <w:tblStylePr w:type="band1Vert">
      <w:pPr>
        <w:pBdr/>
        <w:spacing/>
        <w:ind/>
      </w:pPr>
      <w:tblPr>
        <w:tblBorders/>
      </w:tblPr>
      <w:tcPr>
        <w:shd w:val="clear" w:color="ffffff" w:themeColor="accent6" w:themeTint="34" w:fill="ebe1e1" w:themeFill="accent6" w:themeFillTint="34"/>
        <w:tcBorders/>
      </w:tcPr>
    </w:tblStylePr>
    <w:tblStylePr w:type="band2Horz">
      <w:rPr>
        <w:rFonts w:ascii="Arial" w:hAnsi="Arial"/>
        <w:color w:val="5c3d3d"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3d3d"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5c3d3d"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5c3d3d"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5c3d3d"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fff2c1" w:themeFill="accent1" w:themeFillTint="40"/>
        <w:tcBorders/>
      </w:tcPr>
    </w:tblStylePr>
    <w:tblStylePr w:type="band1Vert">
      <w:pPr>
        <w:pBdr/>
        <w:spacing/>
        <w:ind/>
      </w:pPr>
      <w:tblPr>
        <w:tblBorders/>
      </w:tblPr>
      <w:tcPr>
        <w:shd w:val="clear" w:color="ffffff" w:themeColor="accent1" w:themeTint="40" w:fill="fff2c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de4c6" w:themeFill="accent2" w:themeFillTint="40"/>
        <w:tcBorders/>
      </w:tcPr>
    </w:tblStylePr>
    <w:tblStylePr w:type="band1Vert">
      <w:pPr>
        <w:pBdr/>
        <w:spacing/>
        <w:ind/>
      </w:pPr>
      <w:tblPr>
        <w:tblBorders/>
      </w:tblPr>
      <w:tcPr>
        <w:shd w:val="clear" w:color="ffffff" w:themeColor="accent2" w:themeTint="40" w:fill="fde4c6"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f3e2cf" w:themeFill="accent3" w:themeFillTint="40"/>
        <w:tcBorders/>
      </w:tcPr>
    </w:tblStylePr>
    <w:tblStylePr w:type="band1Vert">
      <w:pPr>
        <w:pBdr/>
        <w:spacing/>
        <w:ind/>
      </w:pPr>
      <w:tblPr>
        <w:tblBorders/>
      </w:tblPr>
      <w:tcPr>
        <w:shd w:val="clear" w:color="ffffff" w:themeColor="accent3" w:themeTint="40" w:fill="f3e2cf"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adbc5" w:themeFill="accent4" w:themeFillTint="40"/>
        <w:tcBorders/>
      </w:tcPr>
    </w:tblStylePr>
    <w:tblStylePr w:type="band1Vert">
      <w:pPr>
        <w:pBdr/>
        <w:spacing/>
        <w:ind/>
      </w:pPr>
      <w:tblPr>
        <w:tblBorders/>
      </w:tblPr>
      <w:tcPr>
        <w:shd w:val="clear" w:color="ffffff" w:themeColor="accent4" w:themeTint="40" w:fill="fadbc5"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f9d1c8" w:themeFill="accent5" w:themeFillTint="40"/>
        <w:tcBorders/>
      </w:tcPr>
    </w:tblStylePr>
    <w:tblStylePr w:type="band1Vert">
      <w:pPr>
        <w:pBdr/>
        <w:spacing/>
        <w:ind/>
      </w:pPr>
      <w:tblPr>
        <w:tblBorders/>
      </w:tblPr>
      <w:tcPr>
        <w:shd w:val="clear" w:color="ffffff" w:themeColor="accent5" w:themeTint="40" w:fill="f9d1c8"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e6dada" w:themeFill="accent6" w:themeFillTint="40"/>
        <w:tcBorders/>
      </w:tcPr>
    </w:tblStylePr>
    <w:tblStylePr w:type="band1Vert">
      <w:pPr>
        <w:pBdr/>
        <w:spacing/>
        <w:ind/>
      </w:pPr>
      <w:tblPr>
        <w:tblBorders/>
      </w:tblPr>
      <w:tcPr>
        <w:shd w:val="clear" w:color="ffffff" w:themeColor="accent6" w:themeTint="40" w:fill="e6dada"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3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3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fff2c1"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fff2c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3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de4c6"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de4c6"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3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3e2cf"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3e2cf"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3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adbc5"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adbc5"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3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f9d1c8"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f9d1c8"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3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e6dada"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e6dada"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3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3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ffca08"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3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bbf79"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3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e2bb8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3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4a972"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3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f0907a"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3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c4a6a6"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3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3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fff2c1"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fff2c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ffca08"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3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de4c6"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de4c6"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f8931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3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3e2cf"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3e2cf"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ce8d3e"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3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adbc5"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adbc5"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ec7016"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3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f9d1c8"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f9d1c8"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e6482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3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e6dada"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e6dada"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9c6a6a"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3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3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ffca08" w:themeFill="accent1"/>
    </w:tblPr>
    <w:tcPr>
      <w:tcBorders/>
    </w:tcPr>
    <w:tblStylePr w:type="band1Horz">
      <w:pPr>
        <w:pBdr/>
        <w:spacing/>
        <w:ind/>
      </w:pPr>
      <w:tblPr>
        <w:tblBorders/>
      </w:tblPr>
      <w:tcPr>
        <w:shd w:val="clear" w:color="ffffff" w:themeColor="accent1" w:fill="ffca08"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ffca08"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ffca08"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ffca08"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3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bbf79" w:themeFill="accent2" w:themeFillTint="97"/>
    </w:tblPr>
    <w:tcPr>
      <w:tcBorders/>
    </w:tcPr>
    <w:tblStylePr w:type="band1Horz">
      <w:pPr>
        <w:pBdr/>
        <w:spacing/>
        <w:ind/>
      </w:pPr>
      <w:tblPr>
        <w:tblBorders/>
      </w:tblPr>
      <w:tcPr>
        <w:shd w:val="clear" w:color="ffffff" w:themeColor="accent2" w:themeTint="97" w:fill="fbbf79"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bbf79"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bbf79"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bbf79"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3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e2bb8c" w:themeFill="accent3" w:themeFillTint="98"/>
    </w:tblPr>
    <w:tcPr>
      <w:tcBorders/>
    </w:tcPr>
    <w:tblStylePr w:type="band1Horz">
      <w:pPr>
        <w:pBdr/>
        <w:spacing/>
        <w:ind/>
      </w:pPr>
      <w:tblPr>
        <w:tblBorders/>
      </w:tblPr>
      <w:tcPr>
        <w:shd w:val="clear" w:color="ffffff" w:themeColor="accent3" w:themeTint="98" w:fill="e2bb8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e2bb8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e2bb8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e2bb8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3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4a972" w:themeFill="accent4" w:themeFillTint="9A"/>
    </w:tblPr>
    <w:tcPr>
      <w:tcBorders/>
    </w:tcPr>
    <w:tblStylePr w:type="band1Horz">
      <w:pPr>
        <w:pBdr/>
        <w:spacing/>
        <w:ind/>
      </w:pPr>
      <w:tblPr>
        <w:tblBorders/>
      </w:tblPr>
      <w:tcPr>
        <w:shd w:val="clear" w:color="ffffff" w:themeColor="accent4" w:themeTint="9A" w:fill="f4a972"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4a972"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4a972"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4a972"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3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f0907a" w:themeFill="accent5" w:themeFillTint="9A"/>
    </w:tblPr>
    <w:tcPr>
      <w:tcBorders/>
    </w:tcPr>
    <w:tblStylePr w:type="band1Horz">
      <w:pPr>
        <w:pBdr/>
        <w:spacing/>
        <w:ind/>
      </w:pPr>
      <w:tblPr>
        <w:tblBorders/>
      </w:tblPr>
      <w:tcPr>
        <w:shd w:val="clear" w:color="ffffff" w:themeColor="accent5" w:themeTint="9A" w:fill="f0907a"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f0907a"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f0907a"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f0907a"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3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c4a6a6" w:themeFill="accent6" w:themeFillTint="98"/>
    </w:tblPr>
    <w:tcPr>
      <w:tcBorders/>
    </w:tcPr>
    <w:tblStylePr w:type="band1Horz">
      <w:pPr>
        <w:pBdr/>
        <w:spacing/>
        <w:ind/>
      </w:pPr>
      <w:tblPr>
        <w:tblBorders/>
      </w:tblPr>
      <w:tcPr>
        <w:shd w:val="clear" w:color="ffffff" w:themeColor="accent6" w:themeTint="98" w:fill="c4a6a6"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c4a6a6"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c4a6a6"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c4a6a6"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3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3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fff2c1" w:themeFill="accent1" w:themeFillTint="40"/>
        <w:tcBorders/>
      </w:tcPr>
    </w:tblStylePr>
    <w:tblStylePr w:type="band1Vert">
      <w:pPr>
        <w:pBdr/>
        <w:spacing/>
        <w:ind/>
      </w:pPr>
      <w:tblPr>
        <w:tblBorders/>
      </w:tblPr>
      <w:tcPr>
        <w:shd w:val="clear" w:color="ffffff" w:themeColor="accent1" w:themeTint="40" w:fill="fff2c1"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7900" w:themeColor="accent1" w:themeShade="95"/>
      </w:rPr>
      <w:pPr>
        <w:pBdr/>
        <w:spacing/>
        <w:ind/>
      </w:pPr>
      <w:tblPr>
        <w:tblBorders/>
      </w:tblPr>
      <w:tcPr>
        <w:tcBorders/>
      </w:tcPr>
    </w:tblStylePr>
    <w:tblStylePr w:type="firstRow">
      <w:rPr>
        <w:b/>
        <w:color w:val="9a7900" w:themeColor="accent1" w:themeShade="95"/>
      </w:rPr>
      <w:pPr>
        <w:pBdr/>
        <w:spacing/>
        <w:ind/>
      </w:pPr>
      <w:tblPr>
        <w:tblBorders/>
      </w:tblPr>
      <w:tcPr>
        <w:tcBorders>
          <w:bottom w:val="single" w:color="000000" w:themeColor="accent1" w:sz="4" w:space="0"/>
        </w:tcBorders>
      </w:tcPr>
    </w:tblStylePr>
    <w:tblStylePr w:type="lastCol">
      <w:rPr>
        <w:b/>
        <w:color w:val="9a7900" w:themeColor="accent1" w:themeShade="95"/>
      </w:rPr>
      <w:pPr>
        <w:pBdr/>
        <w:spacing/>
        <w:ind/>
      </w:pPr>
      <w:tblPr>
        <w:tblBorders/>
      </w:tblPr>
      <w:tcPr>
        <w:tcBorders/>
      </w:tcPr>
    </w:tblStylePr>
    <w:tblStylePr w:type="lastRow">
      <w:rPr>
        <w:b/>
        <w:color w:val="9a7900"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3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de4c6" w:themeFill="accent2" w:themeFillTint="40"/>
        <w:tcBorders/>
      </w:tcPr>
    </w:tblStylePr>
    <w:tblStylePr w:type="band1Vert">
      <w:pPr>
        <w:pBdr/>
        <w:spacing/>
        <w:ind/>
      </w:pPr>
      <w:tblPr>
        <w:tblBorders/>
      </w:tblPr>
      <w:tcPr>
        <w:shd w:val="clear" w:color="ffffff" w:themeColor="accent2" w:themeTint="40" w:fill="fde4c6"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37507" w:themeColor="accent2" w:themeTint="97" w:themeShade="95"/>
      </w:rPr>
      <w:pPr>
        <w:pBdr/>
        <w:spacing/>
        <w:ind/>
      </w:pPr>
      <w:tblPr>
        <w:tblBorders/>
      </w:tblPr>
      <w:tcPr>
        <w:tcBorders/>
      </w:tcPr>
    </w:tblStylePr>
    <w:tblStylePr w:type="firstRow">
      <w:rPr>
        <w:b/>
        <w:color w:val="d37507" w:themeColor="accent2" w:themeTint="97" w:themeShade="95"/>
      </w:rPr>
      <w:pPr>
        <w:pBdr/>
        <w:spacing/>
        <w:ind/>
      </w:pPr>
      <w:tblPr>
        <w:tblBorders/>
      </w:tblPr>
      <w:tcPr>
        <w:tcBorders>
          <w:bottom w:val="single" w:color="000000" w:themeColor="accent2" w:themeTint="97" w:sz="4" w:space="0"/>
        </w:tcBorders>
      </w:tcPr>
    </w:tblStylePr>
    <w:tblStylePr w:type="lastCol">
      <w:rPr>
        <w:b/>
        <w:color w:val="d37507" w:themeColor="accent2" w:themeTint="97" w:themeShade="95"/>
      </w:rPr>
      <w:pPr>
        <w:pBdr/>
        <w:spacing/>
        <w:ind/>
      </w:pPr>
      <w:tblPr>
        <w:tblBorders/>
      </w:tblPr>
      <w:tcPr>
        <w:tcBorders/>
      </w:tcPr>
    </w:tblStylePr>
    <w:tblStylePr w:type="lastRow">
      <w:rPr>
        <w:b/>
        <w:color w:val="d3750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3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f3e2cf" w:themeFill="accent3" w:themeFillTint="40"/>
        <w:tcBorders/>
      </w:tcPr>
    </w:tblStylePr>
    <w:tblStylePr w:type="band1Vert">
      <w:pPr>
        <w:pBdr/>
        <w:spacing/>
        <w:ind/>
      </w:pPr>
      <w:tblPr>
        <w:tblBorders/>
      </w:tblPr>
      <w:tcPr>
        <w:shd w:val="clear" w:color="ffffff" w:themeColor="accent3" w:themeTint="40" w:fill="f3e2cf"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a712b" w:themeColor="accent3" w:themeTint="98" w:themeShade="95"/>
      </w:rPr>
      <w:pPr>
        <w:pBdr/>
        <w:spacing/>
        <w:ind/>
      </w:pPr>
      <w:tblPr>
        <w:tblBorders/>
      </w:tblPr>
      <w:tcPr>
        <w:tcBorders/>
      </w:tcPr>
    </w:tblStylePr>
    <w:tblStylePr w:type="firstRow">
      <w:rPr>
        <w:b/>
        <w:color w:val="aa712b" w:themeColor="accent3" w:themeTint="98" w:themeShade="95"/>
      </w:rPr>
      <w:pPr>
        <w:pBdr/>
        <w:spacing/>
        <w:ind/>
      </w:pPr>
      <w:tblPr>
        <w:tblBorders/>
      </w:tblPr>
      <w:tcPr>
        <w:tcBorders>
          <w:bottom w:val="single" w:color="000000" w:themeColor="accent3" w:themeTint="98" w:sz="4" w:space="0"/>
        </w:tcBorders>
      </w:tcPr>
    </w:tblStylePr>
    <w:tblStylePr w:type="lastCol">
      <w:rPr>
        <w:b/>
        <w:color w:val="aa712b" w:themeColor="accent3" w:themeTint="98" w:themeShade="95"/>
      </w:rPr>
      <w:pPr>
        <w:pBdr/>
        <w:spacing/>
        <w:ind/>
      </w:pPr>
      <w:tblPr>
        <w:tblBorders/>
      </w:tblPr>
      <w:tcPr>
        <w:tcBorders/>
      </w:tcPr>
    </w:tblStylePr>
    <w:tblStylePr w:type="lastRow">
      <w:rPr>
        <w:b/>
        <w:color w:val="aa712b"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3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adbc5" w:themeFill="accent4" w:themeFillTint="40"/>
        <w:tcBorders/>
      </w:tcPr>
    </w:tblStylePr>
    <w:tblStylePr w:type="band1Vert">
      <w:pPr>
        <w:pBdr/>
        <w:spacing/>
        <w:ind/>
      </w:pPr>
      <w:tblPr>
        <w:tblBorders/>
      </w:tblPr>
      <w:tcPr>
        <w:shd w:val="clear" w:color="ffffff" w:themeColor="accent4" w:themeTint="40" w:fill="fadbc5"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15a10" w:themeColor="accent4" w:themeTint="9A" w:themeShade="95"/>
      </w:rPr>
      <w:pPr>
        <w:pBdr/>
        <w:spacing/>
        <w:ind/>
      </w:pPr>
      <w:tblPr>
        <w:tblBorders/>
      </w:tblPr>
      <w:tcPr>
        <w:tcBorders/>
      </w:tcPr>
    </w:tblStylePr>
    <w:tblStylePr w:type="firstRow">
      <w:rPr>
        <w:b/>
        <w:color w:val="c15a10" w:themeColor="accent4" w:themeTint="9A" w:themeShade="95"/>
      </w:rPr>
      <w:pPr>
        <w:pBdr/>
        <w:spacing/>
        <w:ind/>
      </w:pPr>
      <w:tblPr>
        <w:tblBorders/>
      </w:tblPr>
      <w:tcPr>
        <w:tcBorders>
          <w:bottom w:val="single" w:color="000000" w:themeColor="accent4" w:themeTint="9A" w:sz="4" w:space="0"/>
        </w:tcBorders>
      </w:tcPr>
    </w:tblStylePr>
    <w:tblStylePr w:type="lastCol">
      <w:rPr>
        <w:b/>
        <w:color w:val="c15a10" w:themeColor="accent4" w:themeTint="9A" w:themeShade="95"/>
      </w:rPr>
      <w:pPr>
        <w:pBdr/>
        <w:spacing/>
        <w:ind/>
      </w:pPr>
      <w:tblPr>
        <w:tblBorders/>
      </w:tblPr>
      <w:tcPr>
        <w:tcBorders/>
      </w:tcPr>
    </w:tblStylePr>
    <w:tblStylePr w:type="lastRow">
      <w:rPr>
        <w:b/>
        <w:color w:val="c15a1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3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f9d1c8" w:themeFill="accent5" w:themeFillTint="40"/>
        <w:tcBorders/>
      </w:tcPr>
    </w:tblStylePr>
    <w:tblStylePr w:type="band1Vert">
      <w:pPr>
        <w:pBdr/>
        <w:spacing/>
        <w:ind/>
      </w:pPr>
      <w:tblPr>
        <w:tblBorders/>
      </w:tblPr>
      <w:tcPr>
        <w:shd w:val="clear" w:color="ffffff" w:themeColor="accent5" w:themeTint="40" w:fill="f9d1c8"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e3616" w:themeColor="accent5" w:themeTint="9A" w:themeShade="95"/>
      </w:rPr>
      <w:pPr>
        <w:pBdr/>
        <w:spacing/>
        <w:ind/>
      </w:pPr>
      <w:tblPr>
        <w:tblBorders/>
      </w:tblPr>
      <w:tcPr>
        <w:tcBorders/>
      </w:tcPr>
    </w:tblStylePr>
    <w:tblStylePr w:type="firstRow">
      <w:rPr>
        <w:b/>
        <w:color w:val="be3616" w:themeColor="accent5" w:themeTint="9A" w:themeShade="95"/>
      </w:rPr>
      <w:pPr>
        <w:pBdr/>
        <w:spacing/>
        <w:ind/>
      </w:pPr>
      <w:tblPr>
        <w:tblBorders/>
      </w:tblPr>
      <w:tcPr>
        <w:tcBorders>
          <w:bottom w:val="single" w:color="000000" w:themeColor="accent5" w:themeTint="9A" w:sz="4" w:space="0"/>
        </w:tcBorders>
      </w:tcPr>
    </w:tblStylePr>
    <w:tblStylePr w:type="lastCol">
      <w:rPr>
        <w:b/>
        <w:color w:val="be3616" w:themeColor="accent5" w:themeTint="9A" w:themeShade="95"/>
      </w:rPr>
      <w:pPr>
        <w:pBdr/>
        <w:spacing/>
        <w:ind/>
      </w:pPr>
      <w:tblPr>
        <w:tblBorders/>
      </w:tblPr>
      <w:tcPr>
        <w:tcBorders/>
      </w:tcPr>
    </w:tblStylePr>
    <w:tblStylePr w:type="lastRow">
      <w:rPr>
        <w:b/>
        <w:color w:val="be3616"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3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e6dada" w:themeFill="accent6" w:themeFillTint="40"/>
        <w:tcBorders/>
      </w:tcPr>
    </w:tblStylePr>
    <w:tblStylePr w:type="band1Vert">
      <w:pPr>
        <w:pBdr/>
        <w:spacing/>
        <w:ind/>
      </w:pPr>
      <w:tblPr>
        <w:tblBorders/>
      </w:tblPr>
      <w:tcPr>
        <w:shd w:val="clear" w:color="ffffff" w:themeColor="accent6" w:themeTint="40" w:fill="e6dada"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5454" w:themeColor="accent6" w:themeTint="98" w:themeShade="95"/>
      </w:rPr>
      <w:pPr>
        <w:pBdr/>
        <w:spacing/>
        <w:ind/>
      </w:pPr>
      <w:tblPr>
        <w:tblBorders/>
      </w:tblPr>
      <w:tcPr>
        <w:tcBorders/>
      </w:tcPr>
    </w:tblStylePr>
    <w:tblStylePr w:type="firstRow">
      <w:rPr>
        <w:b/>
        <w:color w:val="7f5454" w:themeColor="accent6" w:themeTint="98" w:themeShade="95"/>
      </w:rPr>
      <w:pPr>
        <w:pBdr/>
        <w:spacing/>
        <w:ind/>
      </w:pPr>
      <w:tblPr>
        <w:tblBorders/>
      </w:tblPr>
      <w:tcPr>
        <w:tcBorders>
          <w:bottom w:val="single" w:color="000000" w:themeColor="accent6" w:themeTint="98" w:sz="4" w:space="0"/>
        </w:tcBorders>
      </w:tcPr>
    </w:tblStylePr>
    <w:tblStylePr w:type="lastCol">
      <w:rPr>
        <w:b/>
        <w:color w:val="7f5454" w:themeColor="accent6" w:themeTint="98" w:themeShade="95"/>
      </w:rPr>
      <w:pPr>
        <w:pBdr/>
        <w:spacing/>
        <w:ind/>
      </w:pPr>
      <w:tblPr>
        <w:tblBorders/>
      </w:tblPr>
      <w:tcPr>
        <w:tcBorders/>
      </w:tcPr>
    </w:tblStylePr>
    <w:tblStylePr w:type="lastRow">
      <w:rPr>
        <w:b/>
        <w:color w:val="7f5454"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3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3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9a7900" w:themeColor="accent1" w:themeShade="95"/>
        <w:sz w:val="22"/>
      </w:rPr>
      <w:pPr>
        <w:pBdr/>
        <w:spacing/>
        <w:ind/>
      </w:pPr>
      <w:tblPr>
        <w:tblBorders/>
      </w:tblPr>
      <w:tcPr>
        <w:shd w:val="clear" w:color="ffffff" w:themeColor="accent1" w:themeTint="40" w:fill="fff2c1" w:themeFill="accent1" w:themeFillTint="40"/>
        <w:tcBorders/>
      </w:tcPr>
    </w:tblStylePr>
    <w:tblStylePr w:type="band1Vert">
      <w:pPr>
        <w:pBdr/>
        <w:spacing/>
        <w:ind/>
      </w:pPr>
      <w:tblPr>
        <w:tblBorders/>
      </w:tblPr>
      <w:tcPr>
        <w:shd w:val="clear" w:color="ffffff" w:themeColor="accent1" w:themeTint="40" w:fill="fff2c1" w:themeFill="accent1" w:themeFillTint="40"/>
        <w:tcBorders/>
      </w:tcPr>
    </w:tblStylePr>
    <w:tblStylePr w:type="band2Horz">
      <w:rPr>
        <w:rFonts w:ascii="Arial" w:hAnsi="Arial"/>
        <w:color w:val="9a790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7900"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9a7900"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9a7900"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9a7900"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a7900" w:themeColor="accent1" w:themeShade="95"/>
        <w:sz w:val="22"/>
      </w:rPr>
      <w:pPr>
        <w:pBdr/>
        <w:spacing/>
        <w:ind/>
      </w:pPr>
      <w:tblPr>
        <w:tblBorders/>
      </w:tblPr>
      <w:tcPr>
        <w:tcBorders/>
      </w:tcPr>
    </w:tblStylePr>
  </w:style>
  <w:style w:type="table" w:styleId="112">
    <w:name w:val="List Table 7 Colorful - Accent 2"/>
    <w:basedOn w:val="113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d37507" w:themeColor="accent2" w:themeTint="97" w:themeShade="95"/>
        <w:sz w:val="22"/>
      </w:rPr>
      <w:pPr>
        <w:pBdr/>
        <w:spacing/>
        <w:ind/>
      </w:pPr>
      <w:tblPr>
        <w:tblBorders/>
      </w:tblPr>
      <w:tcPr>
        <w:shd w:val="clear" w:color="ffffff" w:themeColor="accent2" w:themeTint="40" w:fill="fde4c6" w:themeFill="accent2" w:themeFillTint="40"/>
        <w:tcBorders/>
      </w:tcPr>
    </w:tblStylePr>
    <w:tblStylePr w:type="band1Vert">
      <w:pPr>
        <w:pBdr/>
        <w:spacing/>
        <w:ind/>
      </w:pPr>
      <w:tblPr>
        <w:tblBorders/>
      </w:tblPr>
      <w:tcPr>
        <w:shd w:val="clear" w:color="ffffff" w:themeColor="accent2" w:themeTint="40" w:fill="fde4c6" w:themeFill="accent2" w:themeFillTint="40"/>
        <w:tcBorders/>
      </w:tcPr>
    </w:tblStylePr>
    <w:tblStylePr w:type="band2Horz">
      <w:rPr>
        <w:rFonts w:ascii="Arial" w:hAnsi="Arial"/>
        <w:color w:val="d3750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3750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d3750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d3750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d3750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37507" w:themeColor="accent2" w:themeTint="97" w:themeShade="95"/>
        <w:sz w:val="22"/>
      </w:rPr>
      <w:pPr>
        <w:pBdr/>
        <w:spacing/>
        <w:ind/>
      </w:pPr>
      <w:tblPr>
        <w:tblBorders/>
      </w:tblPr>
      <w:tcPr>
        <w:tcBorders/>
      </w:tcPr>
    </w:tblStylePr>
  </w:style>
  <w:style w:type="table" w:styleId="113">
    <w:name w:val="List Table 7 Colorful - Accent 3"/>
    <w:basedOn w:val="113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aa712b" w:themeColor="accent3" w:themeTint="98" w:themeShade="95"/>
        <w:sz w:val="22"/>
      </w:rPr>
      <w:pPr>
        <w:pBdr/>
        <w:spacing/>
        <w:ind/>
      </w:pPr>
      <w:tblPr>
        <w:tblBorders/>
      </w:tblPr>
      <w:tcPr>
        <w:shd w:val="clear" w:color="ffffff" w:themeColor="accent3" w:themeTint="40" w:fill="f3e2cf" w:themeFill="accent3" w:themeFillTint="40"/>
        <w:tcBorders/>
      </w:tcPr>
    </w:tblStylePr>
    <w:tblStylePr w:type="band1Vert">
      <w:pPr>
        <w:pBdr/>
        <w:spacing/>
        <w:ind/>
      </w:pPr>
      <w:tblPr>
        <w:tblBorders/>
      </w:tblPr>
      <w:tcPr>
        <w:shd w:val="clear" w:color="ffffff" w:themeColor="accent3" w:themeTint="40" w:fill="f3e2cf" w:themeFill="accent3" w:themeFillTint="40"/>
        <w:tcBorders/>
      </w:tcPr>
    </w:tblStylePr>
    <w:tblStylePr w:type="band2Horz">
      <w:rPr>
        <w:rFonts w:ascii="Arial" w:hAnsi="Arial"/>
        <w:color w:val="aa712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a712b"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aa712b"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aa712b"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aa712b"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aa712b" w:themeColor="accent3" w:themeTint="98" w:themeShade="95"/>
        <w:sz w:val="22"/>
      </w:rPr>
      <w:pPr>
        <w:pBdr/>
        <w:spacing/>
        <w:ind/>
      </w:pPr>
      <w:tblPr>
        <w:tblBorders/>
      </w:tblPr>
      <w:tcPr>
        <w:tcBorders/>
      </w:tcPr>
    </w:tblStylePr>
  </w:style>
  <w:style w:type="table" w:styleId="114">
    <w:name w:val="List Table 7 Colorful - Accent 4"/>
    <w:basedOn w:val="113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15a10" w:themeColor="accent4" w:themeTint="9A" w:themeShade="95"/>
        <w:sz w:val="22"/>
      </w:rPr>
      <w:pPr>
        <w:pBdr/>
        <w:spacing/>
        <w:ind/>
      </w:pPr>
      <w:tblPr>
        <w:tblBorders/>
      </w:tblPr>
      <w:tcPr>
        <w:shd w:val="clear" w:color="ffffff" w:themeColor="accent4" w:themeTint="40" w:fill="fadbc5" w:themeFill="accent4" w:themeFillTint="40"/>
        <w:tcBorders/>
      </w:tcPr>
    </w:tblStylePr>
    <w:tblStylePr w:type="band1Vert">
      <w:pPr>
        <w:pBdr/>
        <w:spacing/>
        <w:ind/>
      </w:pPr>
      <w:tblPr>
        <w:tblBorders/>
      </w:tblPr>
      <w:tcPr>
        <w:shd w:val="clear" w:color="ffffff" w:themeColor="accent4" w:themeTint="40" w:fill="fadbc5" w:themeFill="accent4" w:themeFillTint="40"/>
        <w:tcBorders/>
      </w:tcPr>
    </w:tblStylePr>
    <w:tblStylePr w:type="band2Horz">
      <w:rPr>
        <w:rFonts w:ascii="Arial" w:hAnsi="Arial"/>
        <w:color w:val="c15a1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15a1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c15a1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15a1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c15a1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15a10" w:themeColor="accent4" w:themeTint="9A" w:themeShade="95"/>
        <w:sz w:val="22"/>
      </w:rPr>
      <w:pPr>
        <w:pBdr/>
        <w:spacing/>
        <w:ind/>
      </w:pPr>
      <w:tblPr>
        <w:tblBorders/>
      </w:tblPr>
      <w:tcPr>
        <w:tcBorders/>
      </w:tcPr>
    </w:tblStylePr>
  </w:style>
  <w:style w:type="table" w:styleId="115">
    <w:name w:val="List Table 7 Colorful - Accent 5"/>
    <w:basedOn w:val="113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be3616" w:themeColor="accent5" w:themeTint="9A" w:themeShade="95"/>
        <w:sz w:val="22"/>
      </w:rPr>
      <w:pPr>
        <w:pBdr/>
        <w:spacing/>
        <w:ind/>
      </w:pPr>
      <w:tblPr>
        <w:tblBorders/>
      </w:tblPr>
      <w:tcPr>
        <w:shd w:val="clear" w:color="ffffff" w:themeColor="accent5" w:themeTint="40" w:fill="f9d1c8" w:themeFill="accent5" w:themeFillTint="40"/>
        <w:tcBorders/>
      </w:tcPr>
    </w:tblStylePr>
    <w:tblStylePr w:type="band1Vert">
      <w:pPr>
        <w:pBdr/>
        <w:spacing/>
        <w:ind/>
      </w:pPr>
      <w:tblPr>
        <w:tblBorders/>
      </w:tblPr>
      <w:tcPr>
        <w:shd w:val="clear" w:color="ffffff" w:themeColor="accent5" w:themeTint="40" w:fill="f9d1c8" w:themeFill="accent5" w:themeFillTint="40"/>
        <w:tcBorders/>
      </w:tcPr>
    </w:tblStylePr>
    <w:tblStylePr w:type="band2Horz">
      <w:rPr>
        <w:rFonts w:ascii="Arial" w:hAnsi="Arial"/>
        <w:color w:val="be3616"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e3616"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be3616"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be3616"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be3616"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be3616" w:themeColor="accent5" w:themeTint="9A" w:themeShade="95"/>
        <w:sz w:val="22"/>
      </w:rPr>
      <w:pPr>
        <w:pBdr/>
        <w:spacing/>
        <w:ind/>
      </w:pPr>
      <w:tblPr>
        <w:tblBorders/>
      </w:tblPr>
      <w:tcPr>
        <w:tcBorders/>
      </w:tcPr>
    </w:tblStylePr>
  </w:style>
  <w:style w:type="table" w:styleId="116">
    <w:name w:val="List Table 7 Colorful - Accent 6"/>
    <w:basedOn w:val="113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7f5454" w:themeColor="accent6" w:themeTint="98" w:themeShade="95"/>
        <w:sz w:val="22"/>
      </w:rPr>
      <w:pPr>
        <w:pBdr/>
        <w:spacing/>
        <w:ind/>
      </w:pPr>
      <w:tblPr>
        <w:tblBorders/>
      </w:tblPr>
      <w:tcPr>
        <w:shd w:val="clear" w:color="ffffff" w:themeColor="accent6" w:themeTint="40" w:fill="e6dada" w:themeFill="accent6" w:themeFillTint="40"/>
        <w:tcBorders/>
      </w:tcPr>
    </w:tblStylePr>
    <w:tblStylePr w:type="band1Vert">
      <w:pPr>
        <w:pBdr/>
        <w:spacing/>
        <w:ind/>
      </w:pPr>
      <w:tblPr>
        <w:tblBorders/>
      </w:tblPr>
      <w:tcPr>
        <w:shd w:val="clear" w:color="ffffff" w:themeColor="accent6" w:themeTint="40" w:fill="e6dada" w:themeFill="accent6" w:themeFillTint="40"/>
        <w:tcBorders/>
      </w:tcPr>
    </w:tblStylePr>
    <w:tblStylePr w:type="band2Horz">
      <w:rPr>
        <w:rFonts w:ascii="Arial" w:hAnsi="Arial"/>
        <w:color w:val="7f5454"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5454"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7f5454"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7f5454"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7f5454"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f5454" w:themeColor="accent6" w:themeTint="98" w:themeShade="95"/>
        <w:sz w:val="22"/>
      </w:rPr>
      <w:pPr>
        <w:pBdr/>
        <w:spacing/>
        <w:ind/>
      </w:pPr>
      <w:tblPr>
        <w:tblBorders/>
      </w:tblPr>
      <w:tcPr>
        <w:tcBorders/>
      </w:tcPr>
    </w:tblStylePr>
  </w:style>
  <w:style w:type="table" w:styleId="117">
    <w:name w:val="Lined - Accent"/>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ffeeb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ffeeb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firstCol">
      <w:rPr>
        <w:rFonts w:ascii="Arial" w:hAnsi="Arial"/>
        <w:color w:val="f2f2f2"/>
        <w:sz w:val="22"/>
      </w:rPr>
      <w:pPr>
        <w:pBdr/>
        <w:spacing/>
        <w:ind/>
      </w:pPr>
      <w:tblPr>
        <w:tblBorders/>
      </w:tblPr>
      <w:tcPr>
        <w:shd w:val="clear" w:color="ffffff" w:themeColor="accent5" w:fill="e64823" w:themeFill="accent5"/>
        <w:tcBorders/>
      </w:tcPr>
    </w:tblStylePr>
    <w:tblStylePr w:type="firstRow">
      <w:rPr>
        <w:rFonts w:ascii="Arial" w:hAnsi="Arial"/>
        <w:color w:val="f2f2f2"/>
        <w:sz w:val="22"/>
      </w:rPr>
      <w:pPr>
        <w:pBdr/>
        <w:spacing/>
        <w:ind/>
      </w:pPr>
      <w:tblPr>
        <w:tblBorders/>
      </w:tblPr>
      <w:tcPr>
        <w:shd w:val="clear" w:color="ffffff" w:themeColor="accent5" w:fill="e64823" w:themeFill="accent5"/>
        <w:tcBorders/>
      </w:tcPr>
    </w:tblStylePr>
    <w:tblStylePr w:type="lastCol">
      <w:rPr>
        <w:rFonts w:ascii="Arial" w:hAnsi="Arial"/>
        <w:color w:val="f2f2f2"/>
        <w:sz w:val="22"/>
      </w:rPr>
      <w:pPr>
        <w:pBdr/>
        <w:spacing/>
        <w:ind/>
      </w:pPr>
      <w:tblPr>
        <w:tblBorders/>
      </w:tblPr>
      <w:tcPr>
        <w:shd w:val="clear" w:color="ffffff" w:themeColor="accent5" w:fill="e64823" w:themeFill="accent5"/>
        <w:tcBorders/>
      </w:tcPr>
    </w:tblStylePr>
    <w:tblStylePr w:type="lastRow">
      <w:rPr>
        <w:rFonts w:ascii="Arial" w:hAnsi="Arial"/>
        <w:color w:val="f2f2f2"/>
        <w:sz w:val="22"/>
      </w:rPr>
      <w:pPr>
        <w:pBdr/>
        <w:spacing/>
        <w:ind/>
      </w:pPr>
      <w:tblPr>
        <w:tblBorders/>
      </w:tblPr>
      <w:tcPr>
        <w:shd w:val="clear" w:color="ffffff" w:themeColor="accent5" w:fill="e6482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firstCol">
      <w:rPr>
        <w:rFonts w:ascii="Arial" w:hAnsi="Arial"/>
        <w:color w:val="f2f2f2"/>
        <w:sz w:val="22"/>
      </w:rPr>
      <w:pPr>
        <w:pBdr/>
        <w:spacing/>
        <w:ind/>
      </w:pPr>
      <w:tblPr>
        <w:tblBorders/>
      </w:tblPr>
      <w:tcPr>
        <w:shd w:val="clear" w:color="ffffff" w:themeColor="accent6" w:fill="9c6a6a" w:themeFill="accent6"/>
        <w:tcBorders/>
      </w:tcPr>
    </w:tblStylePr>
    <w:tblStylePr w:type="firstRow">
      <w:rPr>
        <w:rFonts w:ascii="Arial" w:hAnsi="Arial"/>
        <w:color w:val="f2f2f2"/>
        <w:sz w:val="22"/>
      </w:rPr>
      <w:pPr>
        <w:pBdr/>
        <w:spacing/>
        <w:ind/>
      </w:pPr>
      <w:tblPr>
        <w:tblBorders/>
      </w:tblPr>
      <w:tcPr>
        <w:shd w:val="clear" w:color="ffffff" w:themeColor="accent6" w:fill="9c6a6a" w:themeFill="accent6"/>
        <w:tcBorders/>
      </w:tcPr>
    </w:tblStylePr>
    <w:tblStylePr w:type="lastCol">
      <w:rPr>
        <w:rFonts w:ascii="Arial" w:hAnsi="Arial"/>
        <w:color w:val="f2f2f2"/>
        <w:sz w:val="22"/>
      </w:rPr>
      <w:pPr>
        <w:pBdr/>
        <w:spacing/>
        <w:ind/>
      </w:pPr>
      <w:tblPr>
        <w:tblBorders/>
      </w:tblPr>
      <w:tcPr>
        <w:shd w:val="clear" w:color="ffffff" w:themeColor="accent6" w:fill="9c6a6a" w:themeFill="accent6"/>
        <w:tcBorders/>
      </w:tcPr>
    </w:tblStylePr>
    <w:tblStylePr w:type="lastRow">
      <w:rPr>
        <w:rFonts w:ascii="Arial" w:hAnsi="Arial"/>
        <w:color w:val="f2f2f2"/>
        <w:sz w:val="22"/>
      </w:rPr>
      <w:pPr>
        <w:pBdr/>
        <w:spacing/>
        <w:ind/>
      </w:pPr>
      <w:tblPr>
        <w:tblBorders/>
      </w:tblPr>
      <w:tcPr>
        <w:shd w:val="clear" w:color="ffffff" w:themeColor="accent6" w:fill="9c6a6a"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3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3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ffeeb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ffeeb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ffce1c"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3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eead3"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bbf79"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3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5e8d8"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ce8d3f"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3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be2cf"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4a972"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3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adad2" w:themeFill="accent5" w:themeFillTint="34"/>
        <w:tcBorders/>
      </w:tcPr>
    </w:tblStylePr>
    <w:tblStylePr w:type="firstCol">
      <w:rPr>
        <w:rFonts w:ascii="Arial" w:hAnsi="Arial"/>
        <w:color w:val="f2f2f2"/>
        <w:sz w:val="22"/>
      </w:rPr>
      <w:pPr>
        <w:pBdr/>
        <w:spacing/>
        <w:ind/>
      </w:pPr>
      <w:tblPr>
        <w:tblBorders/>
      </w:tblPr>
      <w:tcPr>
        <w:shd w:val="clear" w:color="ffffff" w:themeColor="accent5" w:fill="e64823" w:themeFill="accent5"/>
        <w:tcBorders/>
      </w:tcPr>
    </w:tblStylePr>
    <w:tblStylePr w:type="firstRow">
      <w:rPr>
        <w:rFonts w:ascii="Arial" w:hAnsi="Arial"/>
        <w:color w:val="f2f2f2"/>
        <w:sz w:val="22"/>
      </w:rPr>
      <w:pPr>
        <w:pBdr/>
        <w:spacing/>
        <w:ind/>
      </w:pPr>
      <w:tblPr>
        <w:tblBorders/>
      </w:tblPr>
      <w:tcPr>
        <w:shd w:val="clear" w:color="ffffff" w:themeColor="accent5" w:fill="e64823" w:themeFill="accent5"/>
        <w:tcBorders/>
      </w:tcPr>
    </w:tblStylePr>
    <w:tblStylePr w:type="lastCol">
      <w:rPr>
        <w:rFonts w:ascii="Arial" w:hAnsi="Arial"/>
        <w:color w:val="f2f2f2"/>
        <w:sz w:val="22"/>
      </w:rPr>
      <w:pPr>
        <w:pBdr/>
        <w:spacing/>
        <w:ind/>
      </w:pPr>
      <w:tblPr>
        <w:tblBorders/>
      </w:tblPr>
      <w:tcPr>
        <w:shd w:val="clear" w:color="ffffff" w:themeColor="accent5" w:fill="e64823" w:themeFill="accent5"/>
        <w:tcBorders/>
      </w:tcPr>
    </w:tblStylePr>
    <w:tblStylePr w:type="lastRow">
      <w:rPr>
        <w:rFonts w:ascii="Arial" w:hAnsi="Arial"/>
        <w:color w:val="f2f2f2"/>
        <w:sz w:val="22"/>
      </w:rPr>
      <w:pPr>
        <w:pBdr/>
        <w:spacing/>
        <w:ind/>
      </w:pPr>
      <w:tblPr>
        <w:tblBorders/>
      </w:tblPr>
      <w:tcPr>
        <w:shd w:val="clear" w:color="ffffff" w:themeColor="accent5" w:fill="e6482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3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be1e1" w:themeFill="accent6" w:themeFillTint="34"/>
        <w:tcBorders/>
      </w:tcPr>
    </w:tblStylePr>
    <w:tblStylePr w:type="firstCol">
      <w:rPr>
        <w:rFonts w:ascii="Arial" w:hAnsi="Arial"/>
        <w:color w:val="f2f2f2"/>
        <w:sz w:val="22"/>
      </w:rPr>
      <w:pPr>
        <w:pBdr/>
        <w:spacing/>
        <w:ind/>
      </w:pPr>
      <w:tblPr>
        <w:tblBorders/>
      </w:tblPr>
      <w:tcPr>
        <w:shd w:val="clear" w:color="ffffff" w:themeColor="accent6" w:fill="9c6a6a" w:themeFill="accent6"/>
        <w:tcBorders/>
      </w:tcPr>
    </w:tblStylePr>
    <w:tblStylePr w:type="firstRow">
      <w:rPr>
        <w:rFonts w:ascii="Arial" w:hAnsi="Arial"/>
        <w:color w:val="f2f2f2"/>
        <w:sz w:val="22"/>
      </w:rPr>
      <w:pPr>
        <w:pBdr/>
        <w:spacing/>
        <w:ind/>
      </w:pPr>
      <w:tblPr>
        <w:tblBorders/>
      </w:tblPr>
      <w:tcPr>
        <w:shd w:val="clear" w:color="ffffff" w:themeColor="accent6" w:fill="9c6a6a" w:themeFill="accent6"/>
        <w:tcBorders/>
      </w:tcPr>
    </w:tblStylePr>
    <w:tblStylePr w:type="lastCol">
      <w:rPr>
        <w:rFonts w:ascii="Arial" w:hAnsi="Arial"/>
        <w:color w:val="f2f2f2"/>
        <w:sz w:val="22"/>
      </w:rPr>
      <w:pPr>
        <w:pBdr/>
        <w:spacing/>
        <w:ind/>
      </w:pPr>
      <w:tblPr>
        <w:tblBorders/>
      </w:tblPr>
      <w:tcPr>
        <w:shd w:val="clear" w:color="ffffff" w:themeColor="accent6" w:fill="9c6a6a" w:themeFill="accent6"/>
        <w:tcBorders/>
      </w:tcPr>
    </w:tblStylePr>
    <w:tblStylePr w:type="lastRow">
      <w:rPr>
        <w:rFonts w:ascii="Arial" w:hAnsi="Arial"/>
        <w:color w:val="f2f2f2"/>
        <w:sz w:val="22"/>
      </w:rPr>
      <w:pPr>
        <w:pBdr/>
        <w:spacing/>
        <w:ind/>
      </w:pPr>
      <w:tblPr>
        <w:tblBorders/>
      </w:tblPr>
      <w:tcPr>
        <w:shd w:val="clear" w:color="ffffff" w:themeColor="accent6" w:fill="9c6a6a"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3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3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3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3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3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3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3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1128"/>
    <w:next w:val="112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1128"/>
    <w:next w:val="112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1128"/>
    <w:next w:val="112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6">
    <w:name w:val="Heading 7 Char"/>
    <w:basedOn w:val="1135"/>
    <w:link w:val="145"/>
    <w:uiPriority w:val="9"/>
    <w:pPr>
      <w:pBdr/>
      <w:spacing/>
      <w:ind/>
    </w:pPr>
    <w:rPr>
      <w:rFonts w:ascii="Arial" w:hAnsi="Arial" w:eastAsia="Arial" w:cs="Arial"/>
      <w:color w:val="595959" w:themeColor="text1" w:themeTint="A6"/>
    </w:rPr>
  </w:style>
  <w:style w:type="character" w:styleId="157">
    <w:name w:val="Heading 8 Char"/>
    <w:basedOn w:val="1135"/>
    <w:link w:val="146"/>
    <w:uiPriority w:val="9"/>
    <w:pPr>
      <w:pBdr/>
      <w:spacing/>
      <w:ind/>
    </w:pPr>
    <w:rPr>
      <w:rFonts w:ascii="Arial" w:hAnsi="Arial" w:eastAsia="Arial" w:cs="Arial"/>
      <w:i/>
      <w:iCs/>
      <w:color w:val="272727" w:themeColor="text1" w:themeTint="D8"/>
    </w:rPr>
  </w:style>
  <w:style w:type="character" w:styleId="158">
    <w:name w:val="Heading 9 Char"/>
    <w:basedOn w:val="1135"/>
    <w:link w:val="147"/>
    <w:uiPriority w:val="9"/>
    <w:pPr>
      <w:pBdr/>
      <w:spacing/>
      <w:ind/>
    </w:pPr>
    <w:rPr>
      <w:rFonts w:ascii="Arial" w:hAnsi="Arial" w:eastAsia="Arial" w:cs="Arial"/>
      <w:i/>
      <w:iCs/>
      <w:color w:val="272727" w:themeColor="text1" w:themeTint="D8"/>
    </w:rPr>
  </w:style>
  <w:style w:type="paragraph" w:styleId="163">
    <w:name w:val="Quote"/>
    <w:basedOn w:val="1128"/>
    <w:next w:val="1128"/>
    <w:link w:val="164"/>
    <w:uiPriority w:val="29"/>
    <w:qFormat/>
    <w:pPr>
      <w:pBdr/>
      <w:spacing w:before="160"/>
      <w:ind/>
      <w:jc w:val="center"/>
    </w:pPr>
    <w:rPr>
      <w:i/>
      <w:iCs/>
      <w:color w:val="404040" w:themeColor="text1" w:themeTint="BF"/>
    </w:rPr>
  </w:style>
  <w:style w:type="character" w:styleId="164">
    <w:name w:val="Quote Char"/>
    <w:basedOn w:val="1135"/>
    <w:link w:val="163"/>
    <w:uiPriority w:val="29"/>
    <w:pPr>
      <w:pBdr/>
      <w:spacing/>
      <w:ind/>
    </w:pPr>
    <w:rPr>
      <w:i/>
      <w:iCs/>
      <w:color w:val="404040" w:themeColor="text1" w:themeTint="BF"/>
    </w:rPr>
  </w:style>
  <w:style w:type="character" w:styleId="166">
    <w:name w:val="Intense Emphasis"/>
    <w:basedOn w:val="1135"/>
    <w:uiPriority w:val="21"/>
    <w:qFormat/>
    <w:pPr>
      <w:pBdr/>
      <w:spacing/>
      <w:ind/>
    </w:pPr>
    <w:rPr>
      <w:i/>
      <w:iCs/>
      <w:color w:val="0f4761" w:themeColor="accent1" w:themeShade="BF"/>
    </w:rPr>
  </w:style>
  <w:style w:type="paragraph" w:styleId="167">
    <w:name w:val="Intense Quote"/>
    <w:basedOn w:val="1128"/>
    <w:next w:val="112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135"/>
    <w:link w:val="167"/>
    <w:uiPriority w:val="30"/>
    <w:pPr>
      <w:pBdr/>
      <w:spacing/>
      <w:ind/>
    </w:pPr>
    <w:rPr>
      <w:i/>
      <w:iCs/>
      <w:color w:val="0f4761" w:themeColor="accent1" w:themeShade="BF"/>
    </w:rPr>
  </w:style>
  <w:style w:type="character" w:styleId="169">
    <w:name w:val="Intense Reference"/>
    <w:basedOn w:val="1135"/>
    <w:uiPriority w:val="32"/>
    <w:qFormat/>
    <w:pPr>
      <w:pBdr/>
      <w:spacing/>
      <w:ind/>
    </w:pPr>
    <w:rPr>
      <w:b/>
      <w:bCs/>
      <w:smallCaps/>
      <w:color w:val="0f4761" w:themeColor="accent1" w:themeShade="BF"/>
      <w:spacing w:val="5"/>
    </w:rPr>
  </w:style>
  <w:style w:type="character" w:styleId="173">
    <w:name w:val="Strong"/>
    <w:basedOn w:val="1135"/>
    <w:uiPriority w:val="22"/>
    <w:qFormat/>
    <w:pPr>
      <w:pBdr/>
      <w:spacing/>
      <w:ind/>
    </w:pPr>
    <w:rPr>
      <w:b/>
      <w:bCs/>
    </w:rPr>
  </w:style>
  <w:style w:type="character" w:styleId="174">
    <w:name w:val="Subtle Reference"/>
    <w:basedOn w:val="1135"/>
    <w:uiPriority w:val="31"/>
    <w:qFormat/>
    <w:pPr>
      <w:pBdr/>
      <w:spacing/>
      <w:ind/>
    </w:pPr>
    <w:rPr>
      <w:smallCaps/>
      <w:color w:val="5a5a5a" w:themeColor="text1" w:themeTint="A5"/>
    </w:rPr>
  </w:style>
  <w:style w:type="character" w:styleId="175">
    <w:name w:val="Book Title"/>
    <w:basedOn w:val="1135"/>
    <w:uiPriority w:val="33"/>
    <w:qFormat/>
    <w:pPr>
      <w:pBdr/>
      <w:spacing/>
      <w:ind/>
    </w:pPr>
    <w:rPr>
      <w:b/>
      <w:bCs/>
      <w:i/>
      <w:iCs/>
      <w:spacing w:val="5"/>
    </w:rPr>
  </w:style>
  <w:style w:type="paragraph" w:styleId="180">
    <w:name w:val="Caption"/>
    <w:basedOn w:val="1128"/>
    <w:next w:val="1128"/>
    <w:uiPriority w:val="35"/>
    <w:unhideWhenUsed/>
    <w:qFormat/>
    <w:pPr>
      <w:pBdr/>
      <w:spacing w:after="200" w:line="240" w:lineRule="auto"/>
      <w:ind/>
    </w:pPr>
    <w:rPr>
      <w:i/>
      <w:iCs/>
      <w:color w:val="0e2841" w:themeColor="text2"/>
      <w:sz w:val="18"/>
      <w:szCs w:val="18"/>
    </w:rPr>
  </w:style>
  <w:style w:type="paragraph" w:styleId="181">
    <w:name w:val="footnote text"/>
    <w:basedOn w:val="1128"/>
    <w:link w:val="182"/>
    <w:uiPriority w:val="99"/>
    <w:semiHidden/>
    <w:unhideWhenUsed/>
    <w:pPr>
      <w:pBdr/>
      <w:spacing w:after="0" w:line="240" w:lineRule="auto"/>
      <w:ind/>
    </w:pPr>
    <w:rPr>
      <w:sz w:val="20"/>
      <w:szCs w:val="20"/>
    </w:rPr>
  </w:style>
  <w:style w:type="character" w:styleId="182">
    <w:name w:val="Footnote Text Char"/>
    <w:basedOn w:val="1135"/>
    <w:link w:val="181"/>
    <w:uiPriority w:val="99"/>
    <w:semiHidden/>
    <w:pPr>
      <w:pBdr/>
      <w:spacing/>
      <w:ind/>
    </w:pPr>
    <w:rPr>
      <w:sz w:val="20"/>
      <w:szCs w:val="20"/>
    </w:rPr>
  </w:style>
  <w:style w:type="character" w:styleId="183">
    <w:name w:val="footnote reference"/>
    <w:basedOn w:val="1135"/>
    <w:uiPriority w:val="99"/>
    <w:semiHidden/>
    <w:unhideWhenUsed/>
    <w:pPr>
      <w:pBdr/>
      <w:spacing/>
      <w:ind/>
    </w:pPr>
    <w:rPr>
      <w:vertAlign w:val="superscript"/>
    </w:rPr>
  </w:style>
  <w:style w:type="paragraph" w:styleId="184">
    <w:name w:val="endnote text"/>
    <w:basedOn w:val="1128"/>
    <w:link w:val="185"/>
    <w:uiPriority w:val="99"/>
    <w:semiHidden/>
    <w:unhideWhenUsed/>
    <w:pPr>
      <w:pBdr/>
      <w:spacing w:after="0" w:line="240" w:lineRule="auto"/>
      <w:ind/>
    </w:pPr>
    <w:rPr>
      <w:sz w:val="20"/>
      <w:szCs w:val="20"/>
    </w:rPr>
  </w:style>
  <w:style w:type="character" w:styleId="185">
    <w:name w:val="Endnote Text Char"/>
    <w:basedOn w:val="1135"/>
    <w:link w:val="184"/>
    <w:uiPriority w:val="99"/>
    <w:semiHidden/>
    <w:pPr>
      <w:pBdr/>
      <w:spacing/>
      <w:ind/>
    </w:pPr>
    <w:rPr>
      <w:sz w:val="20"/>
      <w:szCs w:val="20"/>
    </w:rPr>
  </w:style>
  <w:style w:type="character" w:styleId="186">
    <w:name w:val="endnote reference"/>
    <w:basedOn w:val="1135"/>
    <w:uiPriority w:val="99"/>
    <w:semiHidden/>
    <w:unhideWhenUsed/>
    <w:pPr>
      <w:pBdr/>
      <w:spacing/>
      <w:ind/>
    </w:pPr>
    <w:rPr>
      <w:vertAlign w:val="superscript"/>
    </w:rPr>
  </w:style>
  <w:style w:type="paragraph" w:styleId="191">
    <w:name w:val="toc 3"/>
    <w:basedOn w:val="1128"/>
    <w:next w:val="1128"/>
    <w:uiPriority w:val="39"/>
    <w:unhideWhenUsed/>
    <w:pPr>
      <w:pBdr/>
      <w:spacing w:after="100"/>
      <w:ind w:left="440"/>
    </w:pPr>
  </w:style>
  <w:style w:type="paragraph" w:styleId="192">
    <w:name w:val="toc 4"/>
    <w:basedOn w:val="1128"/>
    <w:next w:val="1128"/>
    <w:uiPriority w:val="39"/>
    <w:unhideWhenUsed/>
    <w:pPr>
      <w:pBdr/>
      <w:spacing w:after="100"/>
      <w:ind w:left="660"/>
    </w:pPr>
  </w:style>
  <w:style w:type="paragraph" w:styleId="193">
    <w:name w:val="toc 5"/>
    <w:basedOn w:val="1128"/>
    <w:next w:val="1128"/>
    <w:uiPriority w:val="39"/>
    <w:unhideWhenUsed/>
    <w:pPr>
      <w:pBdr/>
      <w:spacing w:after="100"/>
      <w:ind w:left="880"/>
    </w:pPr>
  </w:style>
  <w:style w:type="paragraph" w:styleId="194">
    <w:name w:val="toc 6"/>
    <w:basedOn w:val="1128"/>
    <w:next w:val="1128"/>
    <w:uiPriority w:val="39"/>
    <w:unhideWhenUsed/>
    <w:pPr>
      <w:pBdr/>
      <w:spacing w:after="100"/>
      <w:ind w:left="1100"/>
    </w:pPr>
  </w:style>
  <w:style w:type="paragraph" w:styleId="195">
    <w:name w:val="toc 7"/>
    <w:basedOn w:val="1128"/>
    <w:next w:val="1128"/>
    <w:uiPriority w:val="39"/>
    <w:unhideWhenUsed/>
    <w:pPr>
      <w:pBdr/>
      <w:spacing w:after="100"/>
      <w:ind w:left="1320"/>
    </w:pPr>
  </w:style>
  <w:style w:type="paragraph" w:styleId="196">
    <w:name w:val="toc 8"/>
    <w:basedOn w:val="1128"/>
    <w:next w:val="1128"/>
    <w:uiPriority w:val="39"/>
    <w:unhideWhenUsed/>
    <w:pPr>
      <w:pBdr/>
      <w:spacing w:after="100"/>
      <w:ind w:left="1540"/>
    </w:pPr>
  </w:style>
  <w:style w:type="paragraph" w:styleId="197">
    <w:name w:val="toc 9"/>
    <w:basedOn w:val="1128"/>
    <w:next w:val="1128"/>
    <w:uiPriority w:val="39"/>
    <w:unhideWhenUsed/>
    <w:pPr>
      <w:pBdr/>
      <w:spacing w:after="100"/>
      <w:ind w:left="1760"/>
    </w:pPr>
  </w:style>
  <w:style w:type="character" w:styleId="198">
    <w:name w:val="Placeholder Text"/>
    <w:basedOn w:val="1135"/>
    <w:uiPriority w:val="99"/>
    <w:semiHidden/>
    <w:pPr>
      <w:pBdr/>
      <w:spacing/>
      <w:ind/>
    </w:pPr>
    <w:rPr>
      <w:color w:val="666666"/>
    </w:rPr>
  </w:style>
  <w:style w:type="paragraph" w:styleId="209">
    <w:name w:val="table of figures"/>
    <w:basedOn w:val="1128"/>
    <w:next w:val="1128"/>
    <w:uiPriority w:val="99"/>
    <w:unhideWhenUsed/>
    <w:pPr>
      <w:pBdr/>
      <w:spacing w:after="0" w:afterAutospacing="0"/>
      <w:ind/>
    </w:pPr>
  </w:style>
  <w:style w:type="paragraph" w:styleId="1128" w:default="1">
    <w:name w:val="Normal"/>
    <w:qFormat/>
    <w:pPr>
      <w:pBdr/>
      <w:spacing w:after="0" w:line="240" w:lineRule="auto"/>
      <w:ind/>
    </w:pPr>
    <w:rPr>
      <w:rFonts w:eastAsiaTheme="minorEastAsia"/>
      <w:sz w:val="24"/>
      <w:lang w:bidi="en-US"/>
    </w:rPr>
  </w:style>
  <w:style w:type="paragraph" w:styleId="1129">
    <w:name w:val="Heading 1"/>
    <w:basedOn w:val="1128"/>
    <w:next w:val="1128"/>
    <w:link w:val="1149"/>
    <w:uiPriority w:val="9"/>
    <w:qFormat/>
    <w:pPr>
      <w:keepNext w:val="true"/>
      <w:keepLines w:val="true"/>
      <w:pBdr/>
      <w:spacing w:before="480"/>
      <w:ind/>
      <w:outlineLvl w:val="0"/>
    </w:pPr>
    <w:rPr>
      <w:rFonts w:asciiTheme="majorHAnsi" w:hAnsiTheme="majorHAnsi" w:eastAsiaTheme="majorEastAsia" w:cstheme="majorBidi"/>
      <w:b/>
      <w:bCs/>
      <w:color w:val="c49a00" w:themeColor="accent1" w:themeShade="BF"/>
      <w:sz w:val="28"/>
      <w:szCs w:val="28"/>
    </w:rPr>
  </w:style>
  <w:style w:type="paragraph" w:styleId="1130">
    <w:name w:val="Heading 2"/>
    <w:basedOn w:val="1128"/>
    <w:next w:val="1128"/>
    <w:link w:val="1160"/>
    <w:uiPriority w:val="9"/>
    <w:unhideWhenUsed/>
    <w:qFormat/>
    <w:pPr>
      <w:keepNext w:val="true"/>
      <w:keepLines w:val="true"/>
      <w:pBdr/>
      <w:spacing w:before="200"/>
      <w:ind/>
      <w:outlineLvl w:val="1"/>
    </w:pPr>
    <w:rPr>
      <w:rFonts w:asciiTheme="majorHAnsi" w:hAnsiTheme="majorHAnsi" w:eastAsiaTheme="majorEastAsia" w:cstheme="majorBidi"/>
      <w:b/>
      <w:bCs/>
      <w:color w:val="ffca08" w:themeColor="accent1"/>
      <w:sz w:val="26"/>
      <w:szCs w:val="26"/>
    </w:rPr>
  </w:style>
  <w:style w:type="paragraph" w:styleId="1131">
    <w:name w:val="Heading 3"/>
    <w:basedOn w:val="1128"/>
    <w:next w:val="1128"/>
    <w:link w:val="1161"/>
    <w:uiPriority w:val="9"/>
    <w:unhideWhenUsed/>
    <w:qFormat/>
    <w:pPr>
      <w:keepNext w:val="true"/>
      <w:keepLines w:val="true"/>
      <w:pBdr/>
      <w:spacing w:before="200"/>
      <w:ind/>
      <w:outlineLvl w:val="2"/>
    </w:pPr>
    <w:rPr>
      <w:rFonts w:asciiTheme="majorHAnsi" w:hAnsiTheme="majorHAnsi" w:eastAsiaTheme="majorEastAsia" w:cstheme="majorBidi"/>
      <w:b/>
      <w:bCs/>
      <w:color w:val="ffca08" w:themeColor="accent1"/>
    </w:rPr>
  </w:style>
  <w:style w:type="paragraph" w:styleId="1132">
    <w:name w:val="Heading 4"/>
    <w:basedOn w:val="1128"/>
    <w:next w:val="1128"/>
    <w:link w:val="1162"/>
    <w:uiPriority w:val="9"/>
    <w:unhideWhenUsed/>
    <w:qFormat/>
    <w:pPr>
      <w:keepNext w:val="true"/>
      <w:keepLines w:val="true"/>
      <w:pBdr/>
      <w:spacing w:before="200"/>
      <w:ind/>
      <w:outlineLvl w:val="3"/>
    </w:pPr>
    <w:rPr>
      <w:rFonts w:asciiTheme="majorHAnsi" w:hAnsiTheme="majorHAnsi" w:eastAsiaTheme="majorEastAsia" w:cstheme="majorBidi"/>
      <w:b/>
      <w:bCs/>
      <w:i/>
      <w:iCs/>
      <w:color w:val="ffca08" w:themeColor="accent1"/>
    </w:rPr>
  </w:style>
  <w:style w:type="paragraph" w:styleId="1133">
    <w:name w:val="Heading 5"/>
    <w:basedOn w:val="1128"/>
    <w:next w:val="1128"/>
    <w:link w:val="1163"/>
    <w:uiPriority w:val="9"/>
    <w:unhideWhenUsed/>
    <w:qFormat/>
    <w:pPr>
      <w:keepNext w:val="true"/>
      <w:keepLines w:val="true"/>
      <w:pBdr/>
      <w:spacing w:before="200"/>
      <w:ind/>
      <w:outlineLvl w:val="4"/>
    </w:pPr>
    <w:rPr>
      <w:rFonts w:asciiTheme="majorHAnsi" w:hAnsiTheme="majorHAnsi" w:eastAsiaTheme="majorEastAsia" w:cstheme="majorBidi"/>
      <w:color w:val="826600" w:themeColor="accent1" w:themeShade="7F"/>
    </w:rPr>
  </w:style>
  <w:style w:type="paragraph" w:styleId="1134">
    <w:name w:val="Heading 6"/>
    <w:basedOn w:val="1128"/>
    <w:next w:val="1128"/>
    <w:link w:val="1164"/>
    <w:uiPriority w:val="9"/>
    <w:unhideWhenUsed/>
    <w:qFormat/>
    <w:pPr>
      <w:keepNext w:val="true"/>
      <w:keepLines w:val="true"/>
      <w:pBdr/>
      <w:spacing w:before="200"/>
      <w:ind/>
      <w:outlineLvl w:val="5"/>
    </w:pPr>
    <w:rPr>
      <w:rFonts w:asciiTheme="majorHAnsi" w:hAnsiTheme="majorHAnsi" w:eastAsiaTheme="majorEastAsia" w:cstheme="majorBidi"/>
      <w:i/>
      <w:iCs/>
      <w:color w:val="826600" w:themeColor="accent1" w:themeShade="7F"/>
    </w:rPr>
  </w:style>
  <w:style w:type="character" w:styleId="1135" w:default="1">
    <w:name w:val="Default Paragraph Font"/>
    <w:uiPriority w:val="1"/>
    <w:semiHidden/>
    <w:unhideWhenUsed/>
    <w:pPr>
      <w:pBdr/>
      <w:spacing/>
      <w:ind/>
    </w:pPr>
  </w:style>
  <w:style w:type="table" w:styleId="113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137" w:default="1">
    <w:name w:val="No List"/>
    <w:uiPriority w:val="99"/>
    <w:semiHidden/>
    <w:unhideWhenUsed/>
    <w:pPr>
      <w:pBdr/>
      <w:spacing/>
      <w:ind/>
    </w:pPr>
  </w:style>
  <w:style w:type="table" w:styleId="1138">
    <w:name w:val="Table Grid"/>
    <w:basedOn w:val="113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39">
    <w:name w:val="Header"/>
    <w:basedOn w:val="1128"/>
    <w:link w:val="1140"/>
    <w:uiPriority w:val="99"/>
    <w:unhideWhenUsed/>
    <w:pPr>
      <w:pBdr/>
      <w:tabs>
        <w:tab w:val="center" w:leader="none" w:pos="4680"/>
        <w:tab w:val="right" w:leader="none" w:pos="9360"/>
      </w:tabs>
      <w:spacing/>
      <w:ind/>
    </w:pPr>
  </w:style>
  <w:style w:type="character" w:styleId="1140" w:customStyle="1">
    <w:name w:val="Header Char"/>
    <w:basedOn w:val="1135"/>
    <w:link w:val="1139"/>
    <w:uiPriority w:val="99"/>
    <w:pPr>
      <w:pBdr/>
      <w:spacing/>
      <w:ind/>
    </w:pPr>
    <w:rPr>
      <w:rFonts w:eastAsiaTheme="minorEastAsia"/>
      <w:sz w:val="24"/>
      <w:lang w:bidi="en-US"/>
    </w:rPr>
  </w:style>
  <w:style w:type="paragraph" w:styleId="1141">
    <w:name w:val="Footer"/>
    <w:basedOn w:val="1128"/>
    <w:link w:val="1142"/>
    <w:uiPriority w:val="99"/>
    <w:unhideWhenUsed/>
    <w:pPr>
      <w:pBdr/>
      <w:tabs>
        <w:tab w:val="center" w:leader="none" w:pos="4680"/>
        <w:tab w:val="right" w:leader="none" w:pos="9360"/>
      </w:tabs>
      <w:spacing/>
      <w:ind/>
    </w:pPr>
  </w:style>
  <w:style w:type="character" w:styleId="1142" w:customStyle="1">
    <w:name w:val="Footer Char"/>
    <w:basedOn w:val="1135"/>
    <w:link w:val="1141"/>
    <w:uiPriority w:val="99"/>
    <w:pPr>
      <w:pBdr/>
      <w:spacing/>
      <w:ind/>
    </w:pPr>
    <w:rPr>
      <w:rFonts w:eastAsiaTheme="minorEastAsia"/>
      <w:sz w:val="24"/>
      <w:lang w:bidi="en-US"/>
    </w:rPr>
  </w:style>
  <w:style w:type="paragraph" w:styleId="1143">
    <w:name w:val="Balloon Text"/>
    <w:basedOn w:val="1128"/>
    <w:link w:val="1144"/>
    <w:uiPriority w:val="99"/>
    <w:semiHidden/>
    <w:unhideWhenUsed/>
    <w:pPr>
      <w:pBdr/>
      <w:spacing/>
      <w:ind/>
    </w:pPr>
    <w:rPr>
      <w:rFonts w:ascii="Tahoma" w:hAnsi="Tahoma" w:cs="Tahoma"/>
      <w:sz w:val="16"/>
      <w:szCs w:val="16"/>
    </w:rPr>
  </w:style>
  <w:style w:type="character" w:styleId="1144" w:customStyle="1">
    <w:name w:val="Balloon Text Char"/>
    <w:basedOn w:val="1135"/>
    <w:link w:val="1143"/>
    <w:uiPriority w:val="99"/>
    <w:semiHidden/>
    <w:pPr>
      <w:pBdr/>
      <w:spacing/>
      <w:ind/>
    </w:pPr>
    <w:rPr>
      <w:rFonts w:ascii="Tahoma" w:hAnsi="Tahoma" w:cs="Tahoma" w:eastAsiaTheme="minorEastAsia"/>
      <w:sz w:val="16"/>
      <w:szCs w:val="16"/>
      <w:lang w:bidi="en-US"/>
    </w:rPr>
  </w:style>
  <w:style w:type="paragraph" w:styleId="1145">
    <w:name w:val="List Paragraph"/>
    <w:basedOn w:val="1128"/>
    <w:uiPriority w:val="34"/>
    <w:qFormat/>
    <w:pPr>
      <w:pBdr/>
      <w:spacing/>
      <w:ind w:left="720"/>
      <w:contextualSpacing w:val="true"/>
    </w:pPr>
  </w:style>
  <w:style w:type="character" w:styleId="1146" w:customStyle="1">
    <w:name w:val="style17"/>
    <w:basedOn w:val="1135"/>
    <w:pPr>
      <w:pBdr/>
      <w:spacing/>
      <w:ind/>
    </w:pPr>
  </w:style>
  <w:style w:type="character" w:styleId="1147" w:customStyle="1">
    <w:name w:val="style31"/>
    <w:basedOn w:val="1135"/>
    <w:pPr>
      <w:pBdr/>
      <w:spacing/>
      <w:ind/>
    </w:pPr>
  </w:style>
  <w:style w:type="paragraph" w:styleId="1148">
    <w:name w:val="No Spacing"/>
    <w:uiPriority w:val="1"/>
    <w:qFormat/>
    <w:pPr>
      <w:pBdr/>
      <w:spacing w:after="0" w:line="240" w:lineRule="auto"/>
      <w:ind/>
    </w:pPr>
  </w:style>
  <w:style w:type="character" w:styleId="1149" w:customStyle="1">
    <w:name w:val="Heading 1 Char"/>
    <w:basedOn w:val="1135"/>
    <w:link w:val="1129"/>
    <w:uiPriority w:val="9"/>
    <w:pPr>
      <w:pBdr/>
      <w:spacing/>
      <w:ind/>
    </w:pPr>
    <w:rPr>
      <w:rFonts w:asciiTheme="majorHAnsi" w:hAnsiTheme="majorHAnsi" w:eastAsiaTheme="majorEastAsia" w:cstheme="majorBidi"/>
      <w:b/>
      <w:bCs/>
      <w:color w:val="c49a00" w:themeColor="accent1" w:themeShade="BF"/>
      <w:sz w:val="28"/>
      <w:szCs w:val="28"/>
      <w:lang w:bidi="en-US"/>
    </w:rPr>
  </w:style>
  <w:style w:type="paragraph" w:styleId="1150">
    <w:name w:val="TOC Heading"/>
    <w:basedOn w:val="1129"/>
    <w:next w:val="1128"/>
    <w:uiPriority w:val="39"/>
    <w:semiHidden/>
    <w:unhideWhenUsed/>
    <w:qFormat/>
    <w:pPr>
      <w:pBdr/>
      <w:spacing w:line="276" w:lineRule="auto"/>
      <w:ind/>
      <w:outlineLvl w:val="9"/>
    </w:pPr>
    <w:rPr>
      <w:lang w:eastAsia="ja-JP" w:bidi="ar-SA"/>
    </w:rPr>
  </w:style>
  <w:style w:type="paragraph" w:styleId="1151">
    <w:name w:val="toc 1"/>
    <w:basedOn w:val="1128"/>
    <w:next w:val="1128"/>
    <w:uiPriority w:val="39"/>
    <w:unhideWhenUsed/>
    <w:pPr>
      <w:pBdr/>
      <w:tabs>
        <w:tab w:val="right" w:leader="dot" w:pos="12950"/>
      </w:tabs>
      <w:spacing w:after="100" w:line="480" w:lineRule="auto"/>
      <w:ind/>
    </w:pPr>
  </w:style>
  <w:style w:type="character" w:styleId="1152">
    <w:name w:val="Hyperlink"/>
    <w:basedOn w:val="1135"/>
    <w:uiPriority w:val="99"/>
    <w:unhideWhenUsed/>
    <w:pPr>
      <w:pBdr/>
      <w:spacing/>
      <w:ind/>
    </w:pPr>
    <w:rPr>
      <w:color w:val="2998e3" w:themeColor="hyperlink"/>
      <w:u w:val="single"/>
    </w:rPr>
  </w:style>
  <w:style w:type="character" w:styleId="1153">
    <w:name w:val="Emphasis"/>
    <w:basedOn w:val="1135"/>
    <w:uiPriority w:val="20"/>
    <w:qFormat/>
    <w:pPr>
      <w:pBdr/>
      <w:spacing/>
      <w:ind/>
    </w:pPr>
    <w:rPr>
      <w:i/>
      <w:iCs/>
    </w:rPr>
  </w:style>
  <w:style w:type="paragraph" w:styleId="1154">
    <w:name w:val="Title"/>
    <w:basedOn w:val="1128"/>
    <w:next w:val="1128"/>
    <w:link w:val="1155"/>
    <w:uiPriority w:val="10"/>
    <w:qFormat/>
    <w:pPr>
      <w:pBdr>
        <w:bottom w:val="single" w:color="ffca08" w:themeColor="accent1" w:sz="8" w:space="4"/>
      </w:pBdr>
      <w:spacing w:after="300"/>
      <w:ind/>
      <w:contextualSpacing w:val="true"/>
    </w:pPr>
    <w:rPr>
      <w:rFonts w:asciiTheme="majorHAnsi" w:hAnsiTheme="majorHAnsi" w:eastAsiaTheme="majorEastAsia" w:cstheme="majorBidi"/>
      <w:color w:val="2a231f" w:themeColor="text2" w:themeShade="BF"/>
      <w:spacing w:val="5"/>
      <w:sz w:val="52"/>
      <w:szCs w:val="52"/>
    </w:rPr>
  </w:style>
  <w:style w:type="character" w:styleId="1155" w:customStyle="1">
    <w:name w:val="Title Char"/>
    <w:basedOn w:val="1135"/>
    <w:link w:val="1154"/>
    <w:uiPriority w:val="10"/>
    <w:pPr>
      <w:pBdr/>
      <w:spacing/>
      <w:ind/>
    </w:pPr>
    <w:rPr>
      <w:rFonts w:asciiTheme="majorHAnsi" w:hAnsiTheme="majorHAnsi" w:eastAsiaTheme="majorEastAsia" w:cstheme="majorBidi"/>
      <w:color w:val="2a231f" w:themeColor="text2" w:themeShade="BF"/>
      <w:spacing w:val="5"/>
      <w:sz w:val="52"/>
      <w:szCs w:val="52"/>
      <w:lang w:bidi="en-US"/>
    </w:rPr>
  </w:style>
  <w:style w:type="paragraph" w:styleId="1156">
    <w:name w:val="Subtitle"/>
    <w:basedOn w:val="1128"/>
    <w:next w:val="1128"/>
    <w:link w:val="1157"/>
    <w:uiPriority w:val="11"/>
    <w:qFormat/>
    <w:pPr>
      <w:numPr>
        <w:ilvl w:val="1"/>
      </w:numPr>
      <w:pBdr/>
      <w:spacing/>
      <w:ind/>
    </w:pPr>
    <w:rPr>
      <w:rFonts w:asciiTheme="majorHAnsi" w:hAnsiTheme="majorHAnsi" w:eastAsiaTheme="majorEastAsia" w:cstheme="majorBidi"/>
      <w:i/>
      <w:iCs/>
      <w:color w:val="ffca08" w:themeColor="accent1"/>
      <w:spacing w:val="15"/>
      <w:szCs w:val="24"/>
    </w:rPr>
  </w:style>
  <w:style w:type="character" w:styleId="1157" w:customStyle="1">
    <w:name w:val="Subtitle Char"/>
    <w:basedOn w:val="1135"/>
    <w:link w:val="1156"/>
    <w:uiPriority w:val="11"/>
    <w:pPr>
      <w:pBdr/>
      <w:spacing/>
      <w:ind/>
    </w:pPr>
    <w:rPr>
      <w:rFonts w:asciiTheme="majorHAnsi" w:hAnsiTheme="majorHAnsi" w:eastAsiaTheme="majorEastAsia" w:cstheme="majorBidi"/>
      <w:i/>
      <w:iCs/>
      <w:color w:val="ffca08" w:themeColor="accent1"/>
      <w:spacing w:val="15"/>
      <w:sz w:val="24"/>
      <w:szCs w:val="24"/>
      <w:lang w:bidi="en-US"/>
    </w:rPr>
  </w:style>
  <w:style w:type="character" w:styleId="1158">
    <w:name w:val="Subtle Emphasis"/>
    <w:basedOn w:val="1135"/>
    <w:uiPriority w:val="19"/>
    <w:qFormat/>
    <w:pPr>
      <w:pBdr/>
      <w:spacing/>
      <w:ind/>
    </w:pPr>
    <w:rPr>
      <w:i/>
      <w:iCs/>
      <w:color w:val="808080" w:themeColor="text1" w:themeTint="7F"/>
    </w:rPr>
  </w:style>
  <w:style w:type="character" w:styleId="1159" w:customStyle="1">
    <w:name w:val="apple-converted-space"/>
    <w:basedOn w:val="1135"/>
    <w:pPr>
      <w:pBdr/>
      <w:spacing/>
      <w:ind/>
    </w:pPr>
  </w:style>
  <w:style w:type="character" w:styleId="1160" w:customStyle="1">
    <w:name w:val="Heading 2 Char"/>
    <w:basedOn w:val="1135"/>
    <w:link w:val="1130"/>
    <w:uiPriority w:val="9"/>
    <w:pPr>
      <w:pBdr/>
      <w:spacing/>
      <w:ind/>
    </w:pPr>
    <w:rPr>
      <w:rFonts w:asciiTheme="majorHAnsi" w:hAnsiTheme="majorHAnsi" w:eastAsiaTheme="majorEastAsia" w:cstheme="majorBidi"/>
      <w:b/>
      <w:bCs/>
      <w:color w:val="ffca08" w:themeColor="accent1"/>
      <w:sz w:val="26"/>
      <w:szCs w:val="26"/>
      <w:lang w:bidi="en-US"/>
    </w:rPr>
  </w:style>
  <w:style w:type="character" w:styleId="1161" w:customStyle="1">
    <w:name w:val="Heading 3 Char"/>
    <w:basedOn w:val="1135"/>
    <w:link w:val="1131"/>
    <w:uiPriority w:val="9"/>
    <w:pPr>
      <w:pBdr/>
      <w:spacing/>
      <w:ind/>
    </w:pPr>
    <w:rPr>
      <w:rFonts w:asciiTheme="majorHAnsi" w:hAnsiTheme="majorHAnsi" w:eastAsiaTheme="majorEastAsia" w:cstheme="majorBidi"/>
      <w:b/>
      <w:bCs/>
      <w:color w:val="ffca08" w:themeColor="accent1"/>
      <w:sz w:val="24"/>
      <w:lang w:bidi="en-US"/>
    </w:rPr>
  </w:style>
  <w:style w:type="character" w:styleId="1162" w:customStyle="1">
    <w:name w:val="Heading 4 Char"/>
    <w:basedOn w:val="1135"/>
    <w:link w:val="1132"/>
    <w:uiPriority w:val="9"/>
    <w:pPr>
      <w:pBdr/>
      <w:spacing/>
      <w:ind/>
    </w:pPr>
    <w:rPr>
      <w:rFonts w:asciiTheme="majorHAnsi" w:hAnsiTheme="majorHAnsi" w:eastAsiaTheme="majorEastAsia" w:cstheme="majorBidi"/>
      <w:b/>
      <w:bCs/>
      <w:i/>
      <w:iCs/>
      <w:color w:val="ffca08" w:themeColor="accent1"/>
      <w:sz w:val="24"/>
      <w:lang w:bidi="en-US"/>
    </w:rPr>
  </w:style>
  <w:style w:type="character" w:styleId="1163" w:customStyle="1">
    <w:name w:val="Heading 5 Char"/>
    <w:basedOn w:val="1135"/>
    <w:link w:val="1133"/>
    <w:uiPriority w:val="9"/>
    <w:pPr>
      <w:pBdr/>
      <w:spacing/>
      <w:ind/>
    </w:pPr>
    <w:rPr>
      <w:rFonts w:asciiTheme="majorHAnsi" w:hAnsiTheme="majorHAnsi" w:eastAsiaTheme="majorEastAsia" w:cstheme="majorBidi"/>
      <w:color w:val="826600" w:themeColor="accent1" w:themeShade="7F"/>
      <w:sz w:val="24"/>
      <w:lang w:bidi="en-US"/>
    </w:rPr>
  </w:style>
  <w:style w:type="character" w:styleId="1164" w:customStyle="1">
    <w:name w:val="Heading 6 Char"/>
    <w:basedOn w:val="1135"/>
    <w:link w:val="1134"/>
    <w:uiPriority w:val="9"/>
    <w:pPr>
      <w:pBdr/>
      <w:spacing/>
      <w:ind/>
    </w:pPr>
    <w:rPr>
      <w:rFonts w:asciiTheme="majorHAnsi" w:hAnsiTheme="majorHAnsi" w:eastAsiaTheme="majorEastAsia" w:cstheme="majorBidi"/>
      <w:i/>
      <w:iCs/>
      <w:color w:val="826600" w:themeColor="accent1" w:themeShade="7F"/>
      <w:sz w:val="24"/>
      <w:lang w:bidi="en-US"/>
    </w:rPr>
  </w:style>
  <w:style w:type="paragraph" w:styleId="1165">
    <w:name w:val="toc 2"/>
    <w:basedOn w:val="1128"/>
    <w:next w:val="1128"/>
    <w:uiPriority w:val="39"/>
    <w:unhideWhenUsed/>
    <w:pPr>
      <w:pBdr/>
      <w:spacing w:after="100"/>
      <w:ind w:left="240"/>
    </w:pPr>
  </w:style>
  <w:style w:type="paragraph" w:styleId="1166" w:customStyle="1">
    <w:name w:val="Default"/>
    <w:pPr>
      <w:pBdr/>
      <w:spacing w:after="0" w:line="240" w:lineRule="auto"/>
      <w:ind/>
    </w:pPr>
    <w:rPr>
      <w:rFonts w:ascii="Times New Roman" w:hAnsi="Times New Roman" w:cs="Times New Roman"/>
      <w:color w:val="000000"/>
      <w:sz w:val="24"/>
      <w:szCs w:val="24"/>
    </w:rPr>
  </w:style>
  <w:style w:type="character" w:styleId="1167">
    <w:name w:val="FollowedHyperlink"/>
    <w:basedOn w:val="1135"/>
    <w:uiPriority w:val="99"/>
    <w:semiHidden/>
    <w:unhideWhenUsed/>
    <w:pPr>
      <w:pBdr/>
      <w:spacing/>
      <w:ind/>
    </w:pPr>
    <w:rPr>
      <w:color w:val="7f723d" w:themeColor="followedHyperlink"/>
      <w:u w:val="single"/>
    </w:rPr>
  </w:style>
  <w:style w:type="character" w:styleId="1168">
    <w:name w:val="Unresolved Mention"/>
    <w:basedOn w:val="1135"/>
    <w:uiPriority w:val="99"/>
    <w:semiHidden/>
    <w:unhideWhenUsed/>
    <w:pPr>
      <w:pBdr/>
      <w:spacing/>
      <w:ind/>
    </w:pPr>
    <w:rPr>
      <w:color w:val="605e5c"/>
      <w:shd w:val="clear" w:color="auto" w:fill="e1dfdd"/>
    </w:rPr>
  </w:style>
  <w:style w:type="paragraph" w:styleId="1169" w:customStyle="1">
    <w:name w:val="Medium Grid 1 - Accent 21"/>
    <w:basedOn w:val="1128"/>
    <w:uiPriority w:val="34"/>
    <w:qFormat/>
    <w:pPr>
      <w:pBdr/>
      <w:spacing w:line="276" w:lineRule="auto"/>
      <w:ind w:left="720"/>
      <w:contextualSpacing w:val="true"/>
    </w:pPr>
    <w:rPr>
      <w:rFonts w:ascii="Calibri" w:hAnsi="Calibri" w:eastAsia="Calibri" w:cs="Times New Roman"/>
      <w:szCs w:val="20"/>
      <w:lang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footer" Target="footer5.xml" /><Relationship Id="rId20" Type="http://schemas.openxmlformats.org/officeDocument/2006/relationships/customXml" Target="../customXml/item1.xml" /><Relationship Id="rId21" Type="http://schemas.openxmlformats.org/officeDocument/2006/relationships/customXml" Target="../customXml/item2.xml" /><Relationship Id="rId22" Type="http://schemas.openxmlformats.org/officeDocument/2006/relationships/customXml" Target="../customXml/item3.xml" /><Relationship Id="rId23" Type="http://schemas.openxmlformats.org/officeDocument/2006/relationships/customXml" Target="../customXml/item4.xml" /><Relationship Id="rId24" Type="http://schemas.openxmlformats.org/officeDocument/2006/relationships/customXml" Target="../customXml/item5.xml" /><Relationship Id="rId25" Type="http://schemas.openxmlformats.org/officeDocument/2006/relationships/image" Target="media/image1.jpg"/><Relationship Id="rId26" Type="http://schemas.openxmlformats.org/officeDocument/2006/relationships/hyperlink" Target="https://www.nemhs.net/" TargetMode="External"/><Relationship Id="rId27" Type="http://schemas.openxmlformats.org/officeDocument/2006/relationships/hyperlink" Target="https://www.nemhs.net/"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ba5322a4-bf93-4c34-ac2f-8215756aa0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41657DCDFDF148A68405EACEC11BF0" ma:contentTypeVersion="14" ma:contentTypeDescription="Create a new document." ma:contentTypeScope="" ma:versionID="b624e5a734a2bd3a6aab496f8c6bad11">
  <xsd:schema xmlns:xsd="http://www.w3.org/2001/XMLSchema" xmlns:xs="http://www.w3.org/2001/XMLSchema" xmlns:p="http://schemas.microsoft.com/office/2006/metadata/properties" xmlns:ns3="4c1bcdd4-80ce-4639-b2ea-d3dd8c7ee286" xmlns:ns4="ba5322a4-bf93-4c34-ac2f-8215756aa0a3" targetNamespace="http://schemas.microsoft.com/office/2006/metadata/properties" ma:root="true" ma:fieldsID="a39fc26171b0c41b1cebbd4f664860b1" ns3:_="" ns4:_="">
    <xsd:import namespace="4c1bcdd4-80ce-4639-b2ea-d3dd8c7ee286"/>
    <xsd:import namespace="ba5322a4-bf93-4c34-ac2f-8215756aa0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cdd4-80ce-4639-b2ea-d3dd8c7ee2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5322a4-bf93-4c34-ac2f-8215756aa0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2130C1-C78C-49BB-B1D0-CADD7791CA0D">
  <ds:schemaRefs>
    <ds:schemaRef ds:uri="http://schemas.microsoft.com/office/2006/metadata/properties"/>
    <ds:schemaRef ds:uri="http://schemas.microsoft.com/office/infopath/2007/PartnerControls"/>
    <ds:schemaRef ds:uri="ba5322a4-bf93-4c34-ac2f-8215756aa0a3"/>
    <ds:schemaRef ds:uri="http://www.w3.org/2001/XMLSchema-instance"/>
  </ds:schemaRefs>
</ds:datastoreItem>
</file>

<file path=customXml/itemProps3.xml><?xml version="1.0" encoding="utf-8"?>
<ds:datastoreItem xmlns:ds="http://schemas.openxmlformats.org/officeDocument/2006/customXml" ds:itemID="2437E688-5F4C-4138-9697-9962F8718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cdd4-80ce-4639-b2ea-d3dd8c7ee286"/>
    <ds:schemaRef ds:uri="ba5322a4-bf93-4c34-ac2f-8215756aa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customXml/itemProps4.xml><?xml version="1.0" encoding="utf-8"?>
<ds:datastoreItem xmlns:ds="http://schemas.openxmlformats.org/officeDocument/2006/customXml" ds:itemID="B6E2432C-2CCA-4E47-B284-0AC3AFA79589">
  <ds:schemaRefs>
    <ds:schemaRef ds:uri="http://schemas.openxmlformats.org/officeDocument/2006/bibliography"/>
  </ds:schemaRefs>
</ds:datastoreItem>
</file>

<file path=customXml/itemProps5.xml><?xml version="1.0" encoding="utf-8"?>
<ds:datastoreItem xmlns:ds="http://schemas.openxmlformats.org/officeDocument/2006/customXml" ds:itemID="9407A36B-E0CA-42F6-A8D7-7994DB287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onlyoffice/9.3.1.10</Application>
  <DocSecurity>0</DocSecurity>
  <ScaleCrop>0</ScaleCrop>
  <HeadingPairs>
    <vt:vector size="0" baseType="variant"/>
  </HeadingPairs>
  <TitlesOfParts>
    <vt:vector size="0" baseType="lpstr"/>
  </TitlesOfParts>
  <Company>Montana State University</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Northeast Montana Health Service – Poplar / Wolf Point, MT</dc:title>
  <dc:subject/>
  <dc:creator>Kelly Peterson</dc:creator>
  <cp:keywords/>
  <dc:description/>
  <cp:lastModifiedBy>Kelli Hackley</cp:lastModifiedBy>
  <cp:revision>90</cp:revision>
  <dcterms:created xsi:type="dcterms:W3CDTF">2026-05-06T23:11:00Z</dcterms:created>
  <dcterms:modified xsi:type="dcterms:W3CDTF">2026-05-13T14:19:18Z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0x010100F741657DCDFDF148A68405EACEC11BF0</vt:lpwstr>
  </property>
</Properties>
</file>